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 — GROUPED RESUME SOURCE MATERIAL</w:t>
      </w:r>
    </w:p>
    <w:p>
      <w:pPr>
        <w:spacing w:before="0" w:after="40" w:line="276" w:lineRule="auto"/>
        <w:jc w:val="center"/>
      </w:pPr>
      <w:r>
        <w:rPr>
          <w:rFonts w:ascii="EB Garamond" w:hAnsi="EB Garamond"/>
          <w:b w:val="0"/>
          <w:sz w:val="21"/>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Lead Generation</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Cross-Functional Leadership</w:t>
            </w:r>
          </w:p>
        </w:tc>
      </w:tr>
      <w:tr>
        <w:tc>
          <w:tcPr>
            <w:tcW w:type="dxa" w:w="5400"/>
          </w:tcPr>
          <w:p>
            <w:pPr>
              <w:pStyle w:val="ListBullet"/>
              <w:spacing w:after="0" w:line="276" w:lineRule="auto"/>
            </w:pPr>
            <w:r/>
            <w:r>
              <w:rPr>
                <w:rFonts w:ascii="EB Garamond" w:hAnsi="EB Garamond"/>
                <w:sz w:val="21"/>
              </w:rPr>
              <w:t>Customer Acquisition</w:t>
            </w:r>
          </w:p>
        </w:tc>
        <w:tc>
          <w:tcPr>
            <w:tcW w:type="dxa" w:w="5400"/>
          </w:tcPr>
          <w:p>
            <w:pPr>
              <w:pStyle w:val="ListBullet"/>
              <w:spacing w:after="0" w:line="276" w:lineRule="auto"/>
            </w:pPr>
            <w:r/>
            <w:r>
              <w:rPr>
                <w:rFonts w:ascii="EB Garamond" w:hAnsi="EB Garamond"/>
                <w:sz w:val="21"/>
              </w:rPr>
              <w:t>SEO &amp; SEM Strategy</w:t>
            </w:r>
          </w:p>
        </w:tc>
      </w:tr>
      <w:tr>
        <w:tc>
          <w:tcPr>
            <w:tcW w:type="dxa" w:w="5400"/>
          </w:tcPr>
          <w:p>
            <w:pPr>
              <w:pStyle w:val="ListBullet"/>
              <w:spacing w:after="0" w:line="276" w:lineRule="auto"/>
            </w:pPr>
            <w:r/>
            <w:r>
              <w:rPr>
                <w:rFonts w:ascii="EB Garamond" w:hAnsi="EB Garamond"/>
                <w:sz w:val="21"/>
              </w:rPr>
              <w:t>Data Visualization</w:t>
            </w:r>
          </w:p>
        </w:tc>
        <w:tc>
          <w:tcPr>
            <w:tcW w:type="dxa" w:w="5400"/>
          </w:tcPr>
          <w:p>
            <w:pPr>
              <w:pStyle w:val="ListBullet"/>
              <w:spacing w:after="0" w:line="276" w:lineRule="auto"/>
            </w:pPr>
            <w:r/>
            <w:r>
              <w:rPr>
                <w:rFonts w:ascii="EB Garamond" w:hAnsi="EB Garamond"/>
                <w:sz w:val="21"/>
              </w:rPr>
              <w:t>B2B &amp; B2C Marketing</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1"/>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01-04-2004 to 06-26-2008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