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Customer Acquisition</w:t>
            </w:r>
          </w:p>
        </w:tc>
        <w:tc>
          <w:tcPr>
            <w:tcW w:type="dxa" w:w="5400"/>
          </w:tcPr>
          <w:p>
            <w:pPr>
              <w:pStyle w:val="ListBullet"/>
              <w:spacing w:after="0" w:line="276" w:lineRule="auto"/>
            </w:pPr>
            <w:r/>
            <w:r>
              <w:rPr>
                <w:rFonts w:ascii="EB Garamond" w:hAnsi="EB Garamond"/>
                <w:sz w:val="22"/>
              </w:rPr>
              <w:t>Lead Generation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spacing w:before="0" w:after="20" w:line="276" w:lineRule="auto"/>
        <w:ind w:left="259"/>
        <w:jc w:val="left"/>
      </w:pPr>
      <w:r>
        <w:rPr>
          <w:rFonts w:ascii="EB Garamond" w:hAnsi="EB Garamond"/>
          <w:b w:val="0"/>
          <w:sz w:val="22"/>
        </w:rPr>
        <w:t>Helped facilitate the transition of four to five agency relationships in-house, evaluating agency cost structures, prioritization, automation approaches, and the impact of newer Google machine-learning capabilities on legacy rule-based systems.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Coordinated execution and reporting across marketing environment and helped move the organization from a largely traditional, non-digital B2B model to a functional digital environment.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Ads • Microsoft Ads • Google Analytics 4 • Google Tag Manager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