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Customer Acquisition</w:t>
            </w:r>
          </w:p>
        </w:tc>
      </w:tr>
      <w:tr>
        <w:tc>
          <w:tcPr>
            <w:tcW w:type="dxa" w:w="5400"/>
          </w:tcPr>
          <w:p>
            <w:pPr>
              <w:pStyle w:val="ListBullet"/>
              <w:spacing w:after="0" w:line="276" w:lineRule="auto"/>
            </w:pPr>
            <w:r/>
            <w:r>
              <w:rPr>
                <w:rFonts w:ascii="EB Garamond" w:hAnsi="EB Garamond"/>
                <w:sz w:val="22"/>
              </w:rPr>
              <w:t>Attribution Modeling</w:t>
            </w:r>
          </w:p>
        </w:tc>
        <w:tc>
          <w:tcPr>
            <w:tcW w:type="dxa" w:w="5400"/>
          </w:tcPr>
          <w:p>
            <w:pPr>
              <w:pStyle w:val="ListBullet"/>
              <w:spacing w:after="0" w:line="276" w:lineRule="auto"/>
            </w:pPr>
            <w:r/>
            <w:r>
              <w:rPr>
                <w:rFonts w:ascii="EB Garamond" w:hAnsi="EB Garamond"/>
                <w:sz w:val="22"/>
              </w:rPr>
              <w:t>Campaign Optimization</w:t>
            </w:r>
          </w:p>
        </w:tc>
      </w:tr>
      <w:tr>
        <w:tc>
          <w:tcPr>
            <w:tcW w:type="dxa" w:w="5400"/>
          </w:tcPr>
          <w:p>
            <w:pPr>
              <w:pStyle w:val="ListBullet"/>
              <w:spacing w:after="0" w:line="276" w:lineRule="auto"/>
            </w:pPr>
            <w:r/>
            <w:r>
              <w:rPr>
                <w:rFonts w:ascii="EB Garamond" w:hAnsi="EB Garamond"/>
                <w:sz w:val="22"/>
              </w:rPr>
              <w:t>A/B &amp; Multivariate Testing</w:t>
            </w:r>
          </w:p>
        </w:tc>
        <w:tc>
          <w:tcPr>
            <w:tcW w:type="dxa" w:w="5400"/>
          </w:tcPr>
          <w:p>
            <w:pPr>
              <w:pStyle w:val="ListBullet"/>
              <w:spacing w:after="0" w:line="276" w:lineRule="auto"/>
            </w:pPr>
            <w:r/>
            <w:r>
              <w:rPr>
                <w:rFonts w:ascii="EB Garamond" w:hAnsi="EB Garamond"/>
                <w:sz w:val="22"/>
              </w:rPr>
              <w:t>Digital Marketing Strategy</w:t>
            </w:r>
          </w:p>
        </w:tc>
      </w:tr>
      <w:tr>
        <w:tc>
          <w:tcPr>
            <w:tcW w:type="dxa" w:w="5400"/>
          </w:tcPr>
          <w:p>
            <w:pPr>
              <w:pStyle w:val="ListBullet"/>
              <w:spacing w:after="0" w:line="276" w:lineRule="auto"/>
            </w:pPr>
            <w:r/>
            <w:r>
              <w:rPr>
                <w:rFonts w:ascii="EB Garamond" w:hAnsi="EB Garamond"/>
                <w:sz w:val="22"/>
              </w:rPr>
              <w:t>Paid Media Strategy</w:t>
            </w:r>
          </w:p>
        </w:tc>
        <w:tc>
          <w:tcPr>
            <w:tcW w:type="dxa" w:w="5400"/>
          </w:tcPr>
          <w:p>
            <w:pPr>
              <w:pStyle w:val="ListBullet"/>
              <w:spacing w:after="0" w:line="276" w:lineRule="auto"/>
            </w:pPr>
            <w:r/>
            <w:r>
              <w:rPr>
                <w:rFonts w:ascii="EB Garamond" w:hAnsi="EB Garamond"/>
                <w:sz w:val="22"/>
              </w:rPr>
              <w:t>Performance Marketing</w:t>
            </w:r>
          </w:p>
        </w:tc>
      </w:tr>
      <w:tr>
        <w:tc>
          <w:tcPr>
            <w:tcW w:type="dxa" w:w="5400"/>
          </w:tcPr>
          <w:p>
            <w:pPr>
              <w:pStyle w:val="ListBullet"/>
              <w:spacing w:after="0" w:line="276" w:lineRule="auto"/>
            </w:pPr>
            <w:r/>
            <w:r>
              <w:rPr>
                <w:rFonts w:ascii="EB Garamond" w:hAnsi="EB Garamond"/>
                <w:sz w:val="22"/>
              </w:rPr>
              <w:t>Conversion Rate Optimization</w:t>
            </w:r>
          </w:p>
        </w:tc>
        <w:tc>
          <w:tcPr>
            <w:tcW w:type="dxa" w:w="5400"/>
          </w:tcPr>
          <w:p>
            <w:pPr>
              <w:pStyle w:val="ListBullet"/>
              <w:spacing w:after="0" w:line="276" w:lineRule="auto"/>
            </w:pPr>
            <w:r/>
            <w:r>
              <w:rPr>
                <w:rFonts w:ascii="EB Garamond" w:hAnsi="EB Garamond"/>
                <w:sz w:val="22"/>
              </w:rPr>
              <w:t>E-Commerce Strategy</w:t>
            </w:r>
          </w:p>
        </w:tc>
      </w:tr>
      <w:tr>
        <w:tc>
          <w:tcPr>
            <w:tcW w:type="dxa" w:w="5400"/>
          </w:tcPr>
          <w:p>
            <w:pPr>
              <w:pStyle w:val="ListBullet"/>
              <w:spacing w:after="0" w:line="276" w:lineRule="auto"/>
            </w:pPr>
            <w:r/>
            <w:r>
              <w:rPr>
                <w:rFonts w:ascii="EB Garamond" w:hAnsi="EB Garamond"/>
                <w:sz w:val="22"/>
              </w:rPr>
              <w:t>Cross-Functional Leadership</w:t>
            </w:r>
          </w:p>
        </w:tc>
        <w:tc>
          <w:tcPr>
            <w:tcW w:type="dxa" w:w="5400"/>
          </w:tcPr>
          <w:p>
            <w:pPr>
              <w:pStyle w:val="ListBullet"/>
              <w:spacing w:after="0" w:line="276" w:lineRule="auto"/>
            </w:pPr>
            <w:r/>
            <w:r>
              <w:rPr>
                <w:rFonts w:ascii="EB Garamond" w:hAnsi="EB Garamond"/>
                <w:sz w:val="22"/>
              </w:rPr>
              <w:t>Marketing Automation</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 / Analyst - 1-800 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p>
      <w:pPr>
        <w:pStyle w:val="ListBullet"/>
        <w:keepNex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2"/>
        </w:rPr>
        <w:t>Designed and interpreted reach, comparison, conversion, micro-conversion, and internal lifetime-value funnel testing, including click-to-call systems assessment and iSpot analysis for TV/OTT reach campaigns.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2"/>
        </w:rPr>
        <w:t>Managed Google Ads, Microsoft/Bing Ads, Amazon, Meta/Facebook, Instagram, and TikTok across an approximately $400,000 monthly advertising budget.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Mar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keepNex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p>
      <w:pPr>
        <w:pStyle w:val="ListBullet"/>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 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2021</w:t>
            </w:r>
          </w:p>
        </w:tc>
      </w:tr>
    </w:tbl>
    <w:p>
      <w:pPr>
        <w:pStyle w:val="ListBullet"/>
        <w:keepNext/>
        <w:spacing w:before="0" w:after="20" w:line="276" w:lineRule="auto"/>
        <w:ind w:left="259"/>
        <w:jc w:val="left"/>
      </w:pPr>
      <w:r>
        <w:rPr>
          <w:rFonts w:ascii="EB Garamond" w:hAnsi="EB Garamond"/>
          <w:b w:val="0"/>
          <w:sz w:val="22"/>
        </w:rPr>
        <w:t>Oversaw project management in a fast-changing e-commerce channels while protecting relationships with more than 650 B2B retailers.</w:t>
      </w:r>
    </w:p>
    <w:p>
      <w:pPr>
        <w:pStyle w:val="ListBullet"/>
        <w:spacing w:before="0" w:after="20" w:line="276" w:lineRule="auto"/>
        <w:ind w:left="259"/>
        <w:jc w:val="left"/>
      </w:pPr>
      <w:r>
        <w:rPr>
          <w:rFonts w:ascii="EB Garamond" w:hAnsi="EB Garamond"/>
          <w:b w:val="0"/>
          <w:sz w:val="22"/>
        </w:rPr>
        <w:t>Helped modernize a traditional B2B distributor and add multiple B2C e-commerce channels while protecting relationships with 650+ existing retail partners.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 / 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keepNext/>
        <w:spacing w:before="0" w:after="20" w:line="276" w:lineRule="auto"/>
        <w:ind w:left="259"/>
        <w:jc w:val="left"/>
      </w:pPr>
      <w:r>
        <w:rPr>
          <w:rFonts w:ascii="EB Garamond" w:hAnsi="EB Garamond"/>
          <w:b w:val="0"/>
          <w:sz w:val="22"/>
        </w:rPr>
        <w:t>Developed a repeatable Google Ads account-management system designed to maintain service quality across clients regardless of spend; the system was adopted by the company.</w:t>
      </w:r>
    </w:p>
    <w:p>
      <w:pPr>
        <w:pStyle w:val="ListBullet"/>
        <w:spacing w:before="0" w:after="20" w:line="276" w:lineRule="auto"/>
        <w:ind w:left="259"/>
        <w:jc w:val="left"/>
      </w:pPr>
      <w:r>
        <w:rPr>
          <w:rFonts w:ascii="EB Garamond" w:hAnsi="EB Garamond"/>
          <w:b w:val="0"/>
          <w:sz w:val="22"/>
        </w:rPr>
        <w:t>Advised clients directly on business goals and how to allocate marketing funds across website development, SEO, email, paid search, display, mobile, remarketing, YouTube, and social media.</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2013–Sep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Managed more than 150 campaigns across Google Ads/AdWords, Microsoft/Bing Ads, Yahoo Gemini, Amazon Marketing Services, search, shopping, display, video, remarketing, mobile, social, local, email, and related campaign types.</w:t>
      </w:r>
    </w:p>
    <w:p>
      <w:pPr>
        <w:pStyle w:val="ListBullet"/>
        <w:spacing w:before="0" w:after="20" w:line="276" w:lineRule="auto"/>
        <w:ind w:left="259"/>
        <w:jc w:val="left"/>
      </w:pPr>
      <w:r>
        <w:rPr>
          <w:rFonts w:ascii="EB Garamond" w:hAnsi="EB Garamond"/>
          <w:b w:val="0"/>
          <w:sz w:val="22"/>
        </w:rPr>
        <w:t>Conducted advanced keyword research, channel analysis, trend monitoring, acquisition analysis, conversion-path and funnel analysis, landing-page optimization, and conversion-rate optimization.</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keepNext/>
        <w:spacing w:before="0" w:after="20" w:line="276" w:lineRule="auto"/>
        <w:ind w:left="259"/>
        <w:jc w:val="left"/>
      </w:pPr>
      <w:r>
        <w:rPr>
          <w:rFonts w:ascii="EB Garamond" w:hAnsi="EB Garamond"/>
          <w:b w:val="0"/>
          <w:sz w:val="22"/>
        </w:rPr>
        <w:t>Worked within a wealth-management/professional-services firm with more than 20 attorneys, financial planners, and CPAs. Worked directly with firm executives and with high-net-worth clients and owners of medium- to large-sized businesses across the country.</w:t>
      </w:r>
    </w:p>
    <w:p>
      <w:pPr>
        <w:pStyle w:val="ListBullet"/>
        <w:spacing w:before="0" w:after="20" w:line="276" w:lineRule="auto"/>
        <w:ind w:left="259"/>
        <w:jc w:val="left"/>
      </w:pPr>
      <w:r>
        <w:rPr>
          <w:rFonts w:ascii="EB Garamond" w:hAnsi="EB Garamond"/>
          <w:b w:val="0"/>
          <w:sz w:val="22"/>
        </w:rPr>
        <w:t>Designed and introduced new marketing concepts using graphic-design and animation software.</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Ads • Meta Ads • Google Analytics 4 • Google Tag Manager • Google Search Console • Google Ads Editor • Google Ads API • Microsoft Ads • Bing Ads Editor • Amazon Seller Central • Amazon Vendor Central • Funnel.io</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01-04-2004 to 06-26-2008</w:t>
      </w:r>
    </w:p>
    <w:p>
      <w:pPr>
        <w:spacing w:before="0" w:after="0" w:line="276" w:lineRule="auto"/>
        <w:jc w:val="left"/>
      </w:pPr>
      <w:r>
        <w:rPr>
          <w:rFonts w:ascii="EB Garamond" w:hAnsi="EB Garamond"/>
          <w:b w:val="0"/>
          <w:sz w:val="22"/>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