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Client-focused marketing strategist with experience translating business priorities into channel investment and campaign structure. Managed 75+ Google Ads accounts while advising clients on channel allocation, campaign structure, and growth priorities.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complex Tableau dashboards for paid search and helped convert existing Power BI reporting to Tableau.</w:t>
      </w:r>
    </w:p>
    <w:p>
      <w:pPr>
        <w:pStyle w:val="ListBullet"/>
        <w:keepNext/>
        <w:spacing w:before="0" w:after="20" w:line="276" w:lineRule="auto"/>
        <w:ind w:left="259"/>
        <w:jc w:val="left"/>
      </w:pPr>
      <w:r>
        <w:rPr>
          <w:rFonts w:ascii="EB Garamond" w:hAnsi="EB Garamond"/>
          <w:b w:val="0"/>
          <w:sz w:val="22"/>
        </w:rPr>
        <w:t>Funnel testing for reach, comparison, conversion (micro-included), and then internal LTV testing, Click-to-Call systems assessment, iSpot Analysis for TV/OTT (reach) campaigns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Set up custom reporting in GA4 using custom Google Tag Manager configurations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and Looker Studio reporting, created automated monitoring scripts, and developed a repeatable account-management system adopted across the agency.</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Excel • Google Tag Manager • Google Search Console • Google Ads • Microsoft Ads • Google Analytics 4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gecko-job:scout-4</dc:identifier>
</cp:coreProperties>
</file>