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B2B &amp; B2C Marketing</w:t>
            </w:r>
          </w:p>
        </w:tc>
        <w:tc>
          <w:tcPr>
            <w:tcW w:type="dxa" w:w="5400"/>
          </w:tcPr>
          <w:p>
            <w:pPr>
              <w:pStyle w:val="ListBullet"/>
              <w:spacing w:after="0" w:line="276" w:lineRule="auto"/>
            </w:pPr>
            <w:r/>
            <w:r>
              <w:rPr>
                <w:rFonts w:ascii="EB Garamond" w:hAnsi="EB Garamond"/>
                <w:sz w:val="22"/>
              </w:rPr>
              <w:t>Cross-Functional Leadership</w:t>
            </w:r>
          </w:p>
        </w:tc>
      </w:tr>
      <w:tr>
        <w:tc>
          <w:tcPr>
            <w:tcW w:type="dxa" w:w="5400"/>
          </w:tcPr>
          <w:p>
            <w:pPr>
              <w:pStyle w:val="ListBullet"/>
              <w:spacing w:after="0" w:line="276" w:lineRule="auto"/>
            </w:pPr>
            <w:r/>
            <w:r>
              <w:rPr>
                <w:rFonts w:ascii="EB Garamond" w:hAnsi="EB Garamond"/>
                <w:sz w:val="22"/>
              </w:rPr>
              <w:t>Marketing Technology</w:t>
            </w:r>
          </w:p>
        </w:tc>
        <w:tc>
          <w:tcPr>
            <w:tcW w:type="dxa" w:w="5400"/>
          </w:tcPr>
          <w:p>
            <w:pPr>
              <w:pStyle w:val="ListBullet"/>
              <w:spacing w:after="0" w:line="276" w:lineRule="auto"/>
            </w:pPr>
            <w:r/>
            <w:r>
              <w:rPr>
                <w:rFonts w:ascii="EB Garamond" w:hAnsi="EB Garamond"/>
                <w:sz w:val="22"/>
              </w:rPr>
              <w:t>Operational Efficiency</w:t>
            </w:r>
          </w:p>
        </w:tc>
      </w:tr>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Performance Marketing</w:t>
            </w:r>
          </w:p>
        </w:tc>
      </w:tr>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Marketing Automation</w:t>
            </w:r>
          </w:p>
        </w:tc>
      </w:tr>
      <w:tr>
        <w:tc>
          <w:tcPr>
            <w:tcW w:type="dxa" w:w="5400"/>
          </w:tcPr>
          <w:p>
            <w:pPr>
              <w:pStyle w:val="ListBullet"/>
              <w:spacing w:after="0" w:line="276" w:lineRule="auto"/>
            </w:pPr>
            <w:r/>
            <w:r>
              <w:rPr>
                <w:rFonts w:ascii="EB Garamond" w:hAnsi="EB Garamond"/>
                <w:sz w:val="22"/>
              </w:rPr>
              <w:t>Customer Acquisition</w:t>
            </w:r>
          </w:p>
        </w:tc>
        <w:tc>
          <w:tcPr>
            <w:tcW w:type="dxa" w:w="5400"/>
          </w:tcPr>
          <w:p>
            <w:pPr>
              <w:pStyle w:val="ListBullet"/>
              <w:spacing w:after="0" w:line="276" w:lineRule="auto"/>
            </w:pPr>
            <w:r/>
            <w:r>
              <w:rPr>
                <w:rFonts w:ascii="EB Garamond" w:hAnsi="EB Garamond"/>
                <w:sz w:val="22"/>
              </w:rPr>
              <w:t>Lead Generation</w:t>
            </w:r>
          </w:p>
        </w:tc>
      </w:tr>
      <w:tr>
        <w:tc>
          <w:tcPr>
            <w:tcW w:type="dxa" w:w="5400"/>
          </w:tcPr>
          <w:p>
            <w:pPr>
              <w:pStyle w:val="ListBullet"/>
              <w:spacing w:after="0" w:line="276" w:lineRule="auto"/>
            </w:pPr>
            <w:r/>
            <w:r>
              <w:rPr>
                <w:rFonts w:ascii="EB Garamond" w:hAnsi="EB Garamond"/>
                <w:sz w:val="22"/>
              </w:rPr>
              <w:t>Data Visualization</w:t>
            </w:r>
          </w:p>
        </w:tc>
        <w:tc>
          <w:tcPr>
            <w:tcW w:type="dxa" w:w="5400"/>
          </w:tcPr>
          <w:p>
            <w:pPr>
              <w:pStyle w:val="ListBullet"/>
              <w:spacing w:after="0" w:line="276" w:lineRule="auto"/>
            </w:pPr>
            <w:r/>
            <w:r>
              <w:rPr>
                <w:rFonts w:ascii="EB Garamond" w:hAnsi="EB Garamond"/>
                <w:sz w:val="22"/>
              </w:rPr>
              <w:t>Team Development</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2"/>
        </w:rPr>
        <w:t>Managed 150+ campaigns with approximately $400,000 in monthly spend, generating more than $9 million in revenue and approximately 35% of company sales.</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 / Analyst - 1-800 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2"/>
        </w:rPr>
        <w:t>Designed and interpreted reach, comparison, conversion, micro-conversion, and internal lifetime-value funnel testing, including click-to-call systems assessment and iSpot analysis for TV/OTT reach campaigns.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p>
      <w:pPr>
        <w:pStyle w:val="ListBullet"/>
        <w:keepNex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2"/>
        </w:rPr>
        <w:t>Consulted on SEO best practices and on-page optimization and coordinated marketing priorities with web, operations, creative, and other stakeholders.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Reservation Counter - South Jordan, UT</w:t>
            </w:r>
          </w:p>
        </w:tc>
        <w:tc>
          <w:tcPr>
            <w:tcW w:type="dxa" w:w="1872"/>
            <w:tcMar>
              <w:top w:w="0" w:type="dxa"/>
              <w:left w:w="0" w:type="dxa"/>
              <w:bottom w:w="0" w:type="dxa"/>
              <w:right w:w="0" w:type="dxa"/>
            </w:tcMar>
          </w:tcPr>
          <w:p>
            <w:pPr>
              <w:keepNext/>
              <w:spacing w:before="0" w:after="0"/>
              <w:jc w:val="right"/>
            </w:pPr>
            <w:r>
              <w:rPr>
                <w:sz w:val="21"/>
              </w:rPr>
              <w:t>Mar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 / 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2021</w:t>
            </w:r>
          </w:p>
        </w:tc>
      </w:tr>
    </w:tbl>
    <w:p>
      <w:pPr>
        <w:pStyle w:val="ListBullet"/>
        <w:keepNext/>
        <w:spacing w:before="0" w:after="20" w:line="276" w:lineRule="auto"/>
        <w:ind w:left="259"/>
        <w:jc w:val="left"/>
      </w:pPr>
      <w:r>
        <w:rPr>
          <w:rFonts w:ascii="EB Garamond" w:hAnsi="EB Garamond"/>
          <w:b w:val="0"/>
          <w:sz w:val="22"/>
        </w:rPr>
        <w:t>Oversaw project management in a fast-changing e-commerce channels while protecting relationships with more than 650 B2B retailers.</w:t>
      </w:r>
    </w:p>
    <w:p>
      <w:pPr>
        <w:pStyle w:val="ListBullet"/>
        <w:keepNext/>
        <w:spacing w:before="0" w:after="20" w:line="276" w:lineRule="auto"/>
        <w:ind w:left="259"/>
        <w:jc w:val="left"/>
      </w:pPr>
      <w:r>
        <w:rPr>
          <w:rFonts w:ascii="EB Garamond" w:hAnsi="EB Garamond"/>
          <w:b w:val="0"/>
          <w:sz w:val="22"/>
        </w:rPr>
        <w:t>Served as a technology, marketing, cultural-change, team, and thought leader while coordinating with IT, Operations, Finance, Product Development, HR, Sales, and other department heads.</w:t>
      </w:r>
    </w:p>
    <w:p>
      <w:pPr>
        <w:pStyle w:val="ListBullet"/>
        <w:spacing w:before="0" w:after="20" w:line="276" w:lineRule="auto"/>
        <w:ind w:left="259"/>
        <w:jc w:val="left"/>
      </w:pPr>
      <w:r>
        <w:rPr>
          <w:rFonts w:ascii="EB Garamond" w:hAnsi="EB Garamond"/>
          <w:b w:val="0"/>
          <w:sz w:val="22"/>
        </w:rPr>
        <w:t>Developed and maintained multiple company databases to improve consistency across departments and support accurate financial and marketing reporting.</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 / 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Developed a repeatable Google Ads account-management system designed to maintain service quality across clients regardless of spend; the system was adopted by the company.</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2013–Sep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Managed more than 150 campaigns across Google Ads/AdWords, Microsoft/Bing Ads, Yahoo Gemini, Amazon Marketing Services, search, shopping, display, video, remarketing, mobile, social, local, email, and related campaign types.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2"/>
        </w:rPr>
        <w:t>Worked within a wealth-management/professional-services firm with more than 20 attorneys, financial planners, and CPAs. Worked directly with firm executives and with high-net-worth clients and owners of medium- to large-sized businesses across the country.</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Tag Manager • Google Ads • Microsoft Ads • Google Analytics 4 • Google Search Console • Looker Studio • Tableau • Power BI</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01-04-2004 to 06-26-2008</w:t>
      </w:r>
    </w:p>
    <w:p>
      <w:pPr>
        <w:spacing w:before="0" w:after="0" w:line="276" w:lineRule="auto"/>
        <w:jc w:val="left"/>
      </w:pPr>
      <w:r>
        <w:rPr>
          <w:rFonts w:ascii="EB Garamond" w:hAnsi="EB Garamond"/>
          <w:b w:val="0"/>
          <w:sz w:val="22"/>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