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Scaled monthly marketing volume from approximately $200K to $800K while improving ROAS from 1.5 to 3.5.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API • Google Ads • Microsoft Ads • Google Analytics 4 • Google Tag Manager • Google Search Console • Google Ads Editor • Bing Ads Editor • Amazon Seller Central • Amazon Vendor Central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gecko-job:scout-559</dc:identifier>
</cp:coreProperties>
</file>