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Digital Marketing Strategy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Budget Forecasting</w:t>
            </w:r>
          </w:p>
        </w:tc>
        <w:tc>
          <w:tcPr>
            <w:tcW w:type="dxa" w:w="5400"/>
          </w:tcPr>
          <w:p>
            <w:pPr>
              <w:pStyle w:val="ListBullet"/>
              <w:spacing w:after="0" w:line="276" w:lineRule="auto"/>
            </w:pPr>
            <w:r/>
            <w:r>
              <w:rPr>
                <w:rFonts w:ascii="EB Garamond" w:hAnsi="EB Garamond"/>
                <w:sz w:val="22"/>
              </w:rPr>
              <w:t>Attribution Modeling</w:t>
            </w:r>
          </w:p>
        </w:tc>
      </w:tr>
      <w:tr>
        <w:tc>
          <w:tcPr>
            <w:tcW w:type="dxa" w:w="5400"/>
          </w:tcPr>
          <w:p>
            <w:pPr>
              <w:pStyle w:val="ListBullet"/>
              <w:spacing w:after="0" w:line="276" w:lineRule="auto"/>
            </w:pPr>
            <w:r/>
            <w:r>
              <w:rPr>
                <w:rFonts w:ascii="EB Garamond" w:hAnsi="EB Garamond"/>
                <w:sz w:val="22"/>
              </w:rPr>
              <w:t>A/B &amp; Multivariate Testing</w:t>
            </w:r>
          </w:p>
        </w:tc>
        <w:tc>
          <w:tcPr>
            <w:tcW w:type="dxa" w:w="5400"/>
          </w:tcPr>
          <w:p>
            <w:pPr>
              <w:pStyle w:val="ListBullet"/>
              <w:spacing w:after="0" w:line="276" w:lineRule="auto"/>
            </w:pPr>
            <w:r/>
            <w:r>
              <w:rPr>
                <w:rFonts w:ascii="EB Garamond" w:hAnsi="EB Garamond"/>
                <w:sz w:val="22"/>
              </w:rPr>
              <w:t>Performance Marketing</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keepNext/>
        <w:spacing w:before="0" w:after="20" w:line="276" w:lineRule="auto"/>
        <w:ind w:left="259"/>
        <w:jc w:val="left"/>
      </w:pPr>
      <w:r>
        <w:rPr>
          <w:rFonts w:ascii="EB Garamond" w:hAnsi="EB Garamond"/>
          <w:b w:val="0"/>
          <w:sz w:val="22"/>
        </w:rPr>
        <w:t>Managed Google Ads, Microsoft/Bing Ads, Amazon, Meta/Facebook, Instagram, and TikTok across an approximately $400,000 monthly advertising budget.</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p>
      <w:pPr>
        <w:pStyle w:val="ListBulle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Meta Ads • Google Ads • Microsoft Ads • Google Analytics 4 • Google Tag Manager • Google Ads Editor • Bing Ads Editor • Amazon Seller Central • Amazon Vendor Central • Google Ads API • VS Code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