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Growth-oriented paid-media leader experienced in scaling investment while improving returns. Took monthly marketing volume from approximately $200K to $800K and increased ROAS from 1.5 to 3.5, supported by campaign, audience, and conversion optimization. Recent work on custom landing pages, Performance Max content, and multi-business PPC operations adds practical execution and systems experience to performance-focused client strategy.</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Cross-Functional Leadership</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After success with optimization, the question was posed by management, "If we were to give you an additional $10 million dollars, where would we invest it, and why"? Using regression models based on previous year and previous periods, we were able to very accurately predict the outcome of the types of tests we used: hold-out, geo-promotional offers, scale-ups, scale-downs, reallocation of funds to different channels, etc.</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Funnel testing for reach, comparison, conversion (micro-included), and then internal LTV testing, Click-to-Call systems assessment,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Google Search Console • Power BI • Google Ads Editor • Bing Ads Editor • Meta Ads • Amazon Seller Central • Amazon Vendor Central • Funnel.io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