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Campaign Optimization</w:t>
            </w:r>
          </w:p>
        </w:tc>
      </w:tr>
      <w:tr>
        <w:tc>
          <w:tcPr>
            <w:tcW w:type="dxa" w:w="5400"/>
          </w:tcPr>
          <w:p>
            <w:pPr>
              <w:pStyle w:val="ListBullet"/>
              <w:spacing w:after="0" w:line="276" w:lineRule="auto"/>
            </w:pPr>
            <w:r/>
            <w:r>
              <w:rPr>
                <w:rFonts w:ascii="EB Garamond" w:hAnsi="EB Garamond"/>
                <w:sz w:val="22"/>
              </w:rPr>
              <w:t>B2B &amp; B2C Marketing</w:t>
            </w:r>
          </w:p>
        </w:tc>
        <w:tc>
          <w:tcPr>
            <w:tcW w:type="dxa" w:w="5400"/>
          </w:tcPr>
          <w:p>
            <w:pPr>
              <w:pStyle w:val="ListBullet"/>
              <w:spacing w:after="0" w:line="276" w:lineRule="auto"/>
            </w:pPr>
            <w:r/>
            <w:r>
              <w:rPr>
                <w:rFonts w:ascii="EB Garamond" w:hAnsi="EB Garamond"/>
                <w:sz w:val="22"/>
              </w:rPr>
              <w:t>Attribution Modeling</w:t>
            </w:r>
          </w:p>
        </w:tc>
      </w:tr>
      <w:tr>
        <w:tc>
          <w:tcPr>
            <w:tcW w:type="dxa" w:w="5400"/>
          </w:tcPr>
          <w:p>
            <w:pPr>
              <w:pStyle w:val="ListBullet"/>
              <w:spacing w:after="0" w:line="276" w:lineRule="auto"/>
            </w:pPr>
            <w:r/>
            <w:r>
              <w:rPr>
                <w:rFonts w:ascii="EB Garamond" w:hAnsi="EB Garamond"/>
                <w:sz w:val="22"/>
              </w:rPr>
              <w:t>Cross-Functional Leadership</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Lead Generation</w:t>
            </w:r>
          </w:p>
        </w:tc>
        <w:tc>
          <w:tcPr>
            <w:tcW w:type="dxa" w:w="5400"/>
          </w:tcPr>
          <w:p>
            <w:pPr>
              <w:pStyle w:val="ListBullet"/>
              <w:spacing w:after="0" w:line="276" w:lineRule="auto"/>
            </w:pPr>
            <w:r/>
            <w:r>
              <w:rPr>
                <w:rFonts w:ascii="EB Garamond" w:hAnsi="EB Garamond"/>
                <w:sz w:val="22"/>
              </w:rPr>
              <w:t>Operational Efficiency</w:t>
            </w:r>
          </w:p>
        </w:tc>
      </w:tr>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Marketing Analytics</w:t>
            </w:r>
          </w:p>
        </w:tc>
      </w:tr>
      <w:tr>
        <w:tc>
          <w:tcPr>
            <w:tcW w:type="dxa" w:w="5400"/>
          </w:tcPr>
          <w:p>
            <w:pPr>
              <w:pStyle w:val="ListBullet"/>
              <w:spacing w:after="0" w:line="276" w:lineRule="auto"/>
            </w:pPr>
            <w:r/>
            <w:r>
              <w:rPr>
                <w:rFonts w:ascii="EB Garamond" w:hAnsi="EB Garamond"/>
                <w:sz w:val="22"/>
              </w:rPr>
              <w:t>E-Commerce Strategy</w:t>
            </w:r>
          </w:p>
        </w:tc>
        <w:tc>
          <w:tcPr>
            <w:tcW w:type="dxa" w:w="5400"/>
          </w:tcPr>
          <w:p>
            <w:pPr>
              <w:pStyle w:val="ListBullet"/>
              <w:spacing w:after="0" w:line="276" w:lineRule="auto"/>
            </w:pPr>
            <w:r/>
            <w:r>
              <w:rPr>
                <w:rFonts w:ascii="EB Garamond" w:hAnsi="EB Garamond"/>
                <w:sz w:val="22"/>
              </w:rPr>
              <w:t>Conversion Rate Optimization</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keepNex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p>
      <w:pPr>
        <w:pStyle w:val="ListBulle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Oversaw project management in a fast-changing e-commerce channels while protecting relationships with more than 650 B2B retailers.</w:t>
      </w:r>
    </w:p>
    <w:p>
      <w:pPr>
        <w:pStyle w:val="ListBullet"/>
        <w:keepNext/>
        <w:spacing w:before="0" w:after="20" w:line="276" w:lineRule="auto"/>
        <w:ind w:left="259"/>
        <w:jc w:val="left"/>
      </w:pPr>
      <w:r>
        <w:rPr>
          <w:rFonts w:ascii="EB Garamond" w:hAnsi="EB Garamond"/>
          <w:b w:val="0"/>
          <w:sz w:val="22"/>
        </w:rPr>
        <w:t>Coordinated execution and reporting across marketing environment and helped move the organization from a largely traditional, non-digital B2B model to a functional digital environment.</w:t>
      </w:r>
    </w:p>
    <w:p>
      <w:pPr>
        <w:pStyle w:val="ListBulle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Used industry-leading analytical tools to study account performance and make data-driven recommendations.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Managed more than 150 campaigns across Google Ads/AdWords, Microsoft/Bing Ads, Yahoo Gemini, Amazon Marketing Services, search, shopping, display, video, remarketing, mobile, social, local, email, and related campaign types.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Worked within a wealth-management/professional-services firm with more than 20 attorneys, financial planners, and CPAs. Worked directly with firm executives and with high-net-worth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Tag Manager • Power BI • Google Ads • Microsoft Ads • Google Analytics 4 • Google Search Console • Looker Studio • Tableau</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