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Performance Marketing</w:t>
            </w:r>
          </w:p>
        </w:tc>
        <w:tc>
          <w:tcPr>
            <w:tcW w:type="dxa" w:w="5400"/>
          </w:tcPr>
          <w:p>
            <w:pPr>
              <w:pStyle w:val="ListBullet"/>
              <w:spacing w:after="0" w:line="276" w:lineRule="auto"/>
            </w:pPr>
            <w:r/>
            <w:r>
              <w:rPr>
                <w:rFonts w:ascii="EB Garamond" w:hAnsi="EB Garamond"/>
                <w:sz w:val="22"/>
              </w:rPr>
              <w:t>Operational Efficiency</w:t>
            </w:r>
          </w:p>
        </w:tc>
      </w:tr>
      <w:tr>
        <w:tc>
          <w:tcPr>
            <w:tcW w:type="dxa" w:w="5400"/>
          </w:tcPr>
          <w:p>
            <w:pPr>
              <w:pStyle w:val="ListBullet"/>
              <w:spacing w:after="0" w:line="276" w:lineRule="auto"/>
            </w:pPr>
            <w:r/>
            <w:r>
              <w:rPr>
                <w:rFonts w:ascii="EB Garamond" w:hAnsi="EB Garamond"/>
                <w:sz w:val="22"/>
              </w:rPr>
              <w:t>Digital Marketing Strategy</w:t>
            </w:r>
          </w:p>
        </w:tc>
        <w:tc>
          <w:tcPr>
            <w:tcW w:type="dxa" w:w="5400"/>
          </w:tcPr>
          <w:p>
            <w:pPr>
              <w:pStyle w:val="ListBullet"/>
              <w:spacing w:after="0" w:line="276" w:lineRule="auto"/>
            </w:pPr>
            <w:r/>
            <w:r>
              <w:rPr>
                <w:rFonts w:ascii="EB Garamond" w:hAnsi="EB Garamond"/>
                <w:sz w:val="22"/>
              </w:rPr>
              <w:t>Marketing Analytics</w:t>
            </w:r>
          </w:p>
        </w:tc>
      </w:tr>
      <w:tr>
        <w:tc>
          <w:tcPr>
            <w:tcW w:type="dxa" w:w="5400"/>
          </w:tcPr>
          <w:p>
            <w:pPr>
              <w:pStyle w:val="ListBullet"/>
              <w:spacing w:after="0" w:line="276" w:lineRule="auto"/>
            </w:pPr>
            <w:r/>
            <w:r>
              <w:rPr>
                <w:rFonts w:ascii="EB Garamond" w:hAnsi="EB Garamond"/>
                <w:sz w:val="22"/>
              </w:rPr>
              <w:t>Marketing Automation</w:t>
            </w:r>
          </w:p>
        </w:tc>
        <w:tc>
          <w:tcPr>
            <w:tcW w:type="dxa" w:w="5400"/>
          </w:tcPr>
          <w:p>
            <w:pPr>
              <w:pStyle w:val="ListBullet"/>
              <w:spacing w:after="0" w:line="276" w:lineRule="auto"/>
            </w:pPr>
            <w:r/>
            <w:r>
              <w:rPr>
                <w:rFonts w:ascii="EB Garamond" w:hAnsi="EB Garamond"/>
                <w:sz w:val="22"/>
              </w:rPr>
              <w:t>Budget Forecasting</w:t>
            </w:r>
          </w:p>
        </w:tc>
      </w:tr>
      <w:tr>
        <w:tc>
          <w:tcPr>
            <w:tcW w:type="dxa" w:w="5400"/>
          </w:tcPr>
          <w:p>
            <w:pPr>
              <w:pStyle w:val="ListBullet"/>
              <w:spacing w:after="0" w:line="276" w:lineRule="auto"/>
            </w:pPr>
            <w:r/>
            <w:r>
              <w:rPr>
                <w:rFonts w:ascii="EB Garamond" w:hAnsi="EB Garamond"/>
                <w:sz w:val="22"/>
              </w:rPr>
              <w:t>Customer Acquisition</w:t>
            </w:r>
          </w:p>
        </w:tc>
        <w:tc>
          <w:tcPr>
            <w:tcW w:type="dxa" w:w="5400"/>
          </w:tcPr>
          <w:p>
            <w:pPr>
              <w:pStyle w:val="ListBullet"/>
              <w:spacing w:after="0" w:line="276" w:lineRule="auto"/>
            </w:pPr>
            <w:r/>
            <w:r>
              <w:rPr>
                <w:rFonts w:ascii="EB Garamond" w:hAnsi="EB Garamond"/>
                <w:sz w:val="22"/>
              </w:rPr>
              <w:t>Data Visualization</w:t>
            </w:r>
          </w:p>
        </w:tc>
      </w:tr>
      <w:tr>
        <w:tc>
          <w:tcPr>
            <w:tcW w:type="dxa" w:w="5400"/>
          </w:tcPr>
          <w:p>
            <w:pPr>
              <w:pStyle w:val="ListBullet"/>
              <w:spacing w:after="0" w:line="276" w:lineRule="auto"/>
            </w:pPr>
            <w:r/>
            <w:r>
              <w:rPr>
                <w:rFonts w:ascii="EB Garamond" w:hAnsi="EB Garamond"/>
                <w:sz w:val="22"/>
              </w:rPr>
              <w:t>Team Development</w:t>
            </w:r>
          </w:p>
        </w:tc>
        <w:tc>
          <w:tcPr>
            <w:tcW w:type="dxa" w:w="5400"/>
          </w:tcPr>
          <w:p>
            <w:pPr>
              <w:pStyle w:val="ListBullet"/>
              <w:spacing w:after="0" w:line="276" w:lineRule="auto"/>
            </w:pPr>
            <w:r/>
            <w:r>
              <w:rPr>
                <w:rFonts w:ascii="EB Garamond" w:hAnsi="EB Garamond"/>
                <w:sz w:val="22"/>
              </w:rPr>
              <w:t>B2B &amp; B2C Marketing</w:t>
            </w:r>
          </w:p>
        </w:tc>
      </w:tr>
      <w:tr>
        <w:tc>
          <w:tcPr>
            <w:tcW w:type="dxa" w:w="5400"/>
          </w:tcPr>
          <w:p>
            <w:pPr>
              <w:pStyle w:val="ListBullet"/>
              <w:spacing w:after="0" w:line="276" w:lineRule="auto"/>
            </w:pPr>
            <w:r/>
            <w:r>
              <w:rPr>
                <w:rFonts w:ascii="EB Garamond" w:hAnsi="EB Garamond"/>
                <w:sz w:val="22"/>
              </w:rPr>
              <w:t>Marketing Technology</w:t>
            </w:r>
          </w:p>
        </w:tc>
        <w:tc>
          <w:tcPr>
            <w:tcW w:type="dxa" w:w="5400"/>
          </w:tcP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2"/>
        </w:rPr>
        <w:t>Conducted comprehensive market research and helped persuade management to add new services; worked with leadership to create tax and finance departments that together contributed more than 25% of firm revenue.</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 / Analyst - 1-800 Contacts - Draper, UT</w:t>
            </w:r>
          </w:p>
        </w:tc>
        <w:tc>
          <w:tcPr>
            <w:tcW w:type="dxa" w:w="1872"/>
            <w:tcMar>
              <w:top w:w="0" w:type="dxa"/>
              <w:left w:w="0" w:type="dxa"/>
              <w:bottom w:w="0" w:type="dxa"/>
              <w:right w:w="0" w:type="dxa"/>
            </w:tcMar>
          </w:tcPr>
          <w:p>
            <w:pPr>
              <w:keepNext/>
              <w:spacing w:before="0" w:after="0"/>
              <w:jc w:val="right"/>
            </w:pPr>
            <w:r>
              <w:rPr>
                <w:sz w:val="21"/>
              </w:rPr>
              <w:t>Nov 2022–Jun 2023</w:t>
            </w:r>
          </w:p>
        </w:tc>
      </w:tr>
    </w:tbl>
    <w:p>
      <w:pPr>
        <w:pStyle w:val="ListBullet"/>
        <w:keepNext/>
        <w:spacing w:before="0" w:after="20" w:line="276" w:lineRule="auto"/>
        <w:ind w:left="259"/>
        <w:jc w:val="left"/>
      </w:pPr>
      <w:r>
        <w:rPr>
          <w:rFonts w:ascii="EB Garamond" w:hAnsi="EB Garamond"/>
          <w:b w:val="0"/>
          <w:sz w:val="22"/>
        </w:rPr>
        <w:t>Built automated weekly reporting across 10+ channels using Python, Databricks, SQL, blended Excel data, and Funnel.io to improve accuracy and decision speed.</w:t>
      </w:r>
    </w:p>
    <w:p>
      <w:pPr>
        <w:pStyle w:val="ListBullet"/>
        <w:spacing w:before="0" w:after="20" w:line="276" w:lineRule="auto"/>
        <w:ind w:left="259"/>
        <w:jc w:val="left"/>
      </w:pPr>
      <w:r>
        <w:rPr>
          <w:rFonts w:ascii="EB Garamond" w:hAnsi="EB Garamond"/>
          <w:b w:val="0"/>
          <w:sz w:val="22"/>
        </w:rPr>
        <w:t>Used regression models, prior-year/prior-period data, holdouts, geo-promotional tests, scale-up/down analysis, and budget reallocation scenarios to forecast investment outcomes and support recommendations involving substantial incremental media budgets.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Next/>
        <w:spacing w:before="0" w:after="20" w:line="276" w:lineRule="auto"/>
        <w:ind w:left="259"/>
        <w:jc w:val="left"/>
      </w:pPr>
      <w:r>
        <w:rPr>
          <w:rFonts w:ascii="EB Garamond" w:hAnsi="EB Garamond"/>
          <w:b w:val="0"/>
          <w:sz w:val="22"/>
        </w:rPr>
        <w:t>Increased monthly marketing volume from approximately $200,000 to $800,000 while improving ROAS from 1.5 to 3.5.</w:t>
      </w:r>
    </w:p>
    <w:p>
      <w:pPr>
        <w:pStyle w:val="ListBullet"/>
        <w:keepNext/>
        <w:spacing w:before="0" w:after="20" w:line="276" w:lineRule="auto"/>
        <w:ind w:left="259"/>
        <w:jc w:val="left"/>
      </w:pPr>
      <w:r>
        <w:rPr>
          <w:rFonts w:ascii="EB Garamond" w:hAnsi="EB Garamond"/>
          <w:b w:val="0"/>
          <w:sz w:val="22"/>
        </w:rPr>
        <w:t>Built Looker Studio KPI reporting for multiple departments, improving transparency for inventory planning, engineering decisions based on reviews, management decisions, website development, email performance, and cross-platform budget management.</w:t>
      </w:r>
    </w:p>
    <w:p>
      <w:pPr>
        <w:pStyle w:val="ListBullet"/>
        <w:spacing w:before="0" w:after="20" w:line="276" w:lineRule="auto"/>
        <w:ind w:left="259"/>
        <w:jc w:val="left"/>
      </w:pPr>
      <w:r>
        <w:rPr>
          <w:rFonts w:ascii="EB Garamond" w:hAnsi="EB Garamond"/>
          <w:b w:val="0"/>
          <w:sz w:val="22"/>
        </w:rPr>
        <w:t>Consulted on SEO best practices and on-page optimization and coordinated marketing priorities with web, operations, creative, and other stakeholders.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Reservation Counter - South Jordan, UT</w:t>
            </w:r>
          </w:p>
        </w:tc>
        <w:tc>
          <w:tcPr>
            <w:tcW w:type="dxa" w:w="1872"/>
            <w:tcMar>
              <w:top w:w="0" w:type="dxa"/>
              <w:left w:w="0" w:type="dxa"/>
              <w:bottom w:w="0" w:type="dxa"/>
              <w:right w:w="0" w:type="dxa"/>
            </w:tcMar>
          </w:tcPr>
          <w:p>
            <w:pPr>
              <w:keepNext/>
              <w:spacing w:before="0" w:after="0"/>
              <w:jc w:val="right"/>
            </w:pPr>
            <w:r>
              <w:rPr>
                <w:sz w:val="21"/>
              </w:rPr>
              <w:t>Mar 2021–Apr 2022</w:t>
            </w:r>
          </w:p>
        </w:tc>
      </w:tr>
    </w:tbl>
    <w:p>
      <w:pPr>
        <w:pStyle w:val="ListBullet"/>
        <w:keepNex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Managed 12 accounts, 32 campaigns, approximately 110,000 ad groups, 1.6 million keywords, and approximately $3.6 million in monthly spend for one brand.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 / Marketing - Intercon Inc. - Salt Lake City, UT</w:t>
            </w:r>
          </w:p>
        </w:tc>
        <w:tc>
          <w:tcPr>
            <w:tcW w:type="dxa" w:w="1872"/>
            <w:tcMar>
              <w:top w:w="0" w:type="dxa"/>
              <w:left w:w="0" w:type="dxa"/>
              <w:bottom w:w="0" w:type="dxa"/>
              <w:right w:w="0" w:type="dxa"/>
            </w:tcMar>
          </w:tcPr>
          <w:p>
            <w:pPr>
              <w:keepNext/>
              <w:spacing w:before="0" w:after="0"/>
              <w:jc w:val="right"/>
            </w:pPr>
            <w:r>
              <w:rPr>
                <w:sz w:val="21"/>
              </w:rPr>
              <w:t>Feb 2018–Feb 2021</w:t>
            </w:r>
          </w:p>
        </w:tc>
      </w:tr>
    </w:tbl>
    <w:p>
      <w:pPr>
        <w:pStyle w:val="ListBullet"/>
        <w:keepNext/>
        <w:spacing w:before="0" w:after="20" w:line="276" w:lineRule="auto"/>
        <w:ind w:left="259"/>
        <w:jc w:val="left"/>
      </w:pPr>
      <w:r>
        <w:rPr>
          <w:rFonts w:ascii="EB Garamond" w:hAnsi="EB Garamond"/>
          <w:b w:val="0"/>
          <w:sz w:val="22"/>
        </w:rPr>
        <w:t>Served as a technology, marketing, cultural-change, team, and thought leader while coordinating with IT, Operations, Finance, Product Development, HR, Sales, and other department heads.</w:t>
      </w:r>
    </w:p>
    <w:p>
      <w:pPr>
        <w:pStyle w:val="ListBullet"/>
        <w:spacing w:before="0" w:after="20" w:line="276" w:lineRule="auto"/>
        <w:ind w:left="259"/>
        <w:jc w:val="left"/>
      </w:pPr>
      <w:r>
        <w:rPr>
          <w:rFonts w:ascii="EB Garamond" w:hAnsi="EB Garamond"/>
          <w:b w:val="0"/>
          <w:sz w:val="22"/>
        </w:rPr>
        <w:t>Oversaw project management in a fast-changing e-commerce channels while protecting relationships with more than 650 B2B retailers.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 / 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Next/>
        <w:spacing w:before="0" w:after="20" w:line="276" w:lineRule="auto"/>
        <w:ind w:left="259"/>
        <w:jc w:val="left"/>
      </w:pPr>
      <w:r>
        <w:rPr>
          <w:rFonts w:ascii="EB Garamond" w:hAnsi="EB Garamond"/>
          <w:b w:val="0"/>
          <w:sz w:val="22"/>
        </w:rPr>
        <w:t>Developed a repeatable Google Ads account-management system designed to maintain service quality across clients regardless of spend; the system was adopted by the company.</w:t>
      </w:r>
    </w:p>
    <w:p>
      <w:pPr>
        <w:pStyle w:val="ListBullet"/>
        <w:keepNex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2"/>
        </w:rPr>
        <w:t>Built conversion and attribution models and designed A/B and multivariate tests across multiple levels of the marketing funnel.</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E-Commerce Manager - LifeSpan Fitness - Salt Lake City, UT</w:t>
            </w:r>
          </w:p>
        </w:tc>
        <w:tc>
          <w:tcPr>
            <w:tcW w:type="dxa" w:w="1872"/>
            <w:tcMar>
              <w:top w:w="0" w:type="dxa"/>
              <w:left w:w="0" w:type="dxa"/>
              <w:bottom w:w="0" w:type="dxa"/>
              <w:right w:w="0" w:type="dxa"/>
            </w:tcMar>
          </w:tcPr>
          <w:p>
            <w:pPr>
              <w:keepNext/>
              <w:spacing w:before="0" w:after="0"/>
              <w:jc w:val="right"/>
            </w:pPr>
            <w:r>
              <w:rPr>
                <w:sz w:val="21"/>
              </w:rPr>
              <w:t>Jul 2013–Sep 2016</w:t>
            </w:r>
          </w:p>
        </w:tc>
      </w:tr>
    </w:tbl>
    <w:p>
      <w:pPr>
        <w:pStyle w:val="ListBullet"/>
        <w:keepNex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2"/>
        </w:rPr>
        <w:t>Managed more than 150 campaigns across Google Ads/AdWords, Microsoft/Bing Ads, Yahoo Gemini, Amazon Marketing Services, search, shopping, display, video, remarketing, mobile, social, local, email, and related campaign types.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Next/>
        <w:spacing w:before="0" w:after="20" w:line="276" w:lineRule="auto"/>
        <w:ind w:left="259"/>
        <w:jc w:val="left"/>
      </w:pPr>
      <w:r>
        <w:rPr>
          <w:rFonts w:ascii="EB Garamond" w:hAnsi="EB Garamond"/>
          <w:b w:val="0"/>
          <w:sz w:val="22"/>
        </w:rPr>
        <w:t>Conducted comprehensive market research and helped persuade management to add new services; worked with leadership to create tax and finance departments that together contributed more than 25% of firm revenue.</w:t>
      </w:r>
    </w:p>
    <w:p>
      <w:pPr>
        <w:pStyle w:val="ListBullet"/>
        <w:spacing w:before="0" w:after="20" w:line="276" w:lineRule="auto"/>
        <w:ind w:left="259"/>
        <w:jc w:val="left"/>
      </w:pPr>
      <w:r>
        <w:rPr>
          <w:rFonts w:ascii="EB Garamond" w:hAnsi="EB Garamond"/>
          <w:b w:val="0"/>
          <w:sz w:val="22"/>
        </w:rPr>
        <w:t>Worked within a wealth-management/professional-services firm with more than 20 attorneys, financial planners, and CPAs. Worked directly with firm executives and with high-net-worth clients and owners of medium- to large-sized businesses across the country.</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Google Tag Manager • Power BI • Amazon Vendor Central • Google Ads • Microsoft Ads • Google Analytics 4 • Google Search Console • Looker Studio</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01-04-2004 to 06-26-2008</w:t>
      </w:r>
    </w:p>
    <w:p>
      <w:pPr>
        <w:spacing w:before="0" w:after="0" w:line="276" w:lineRule="auto"/>
        <w:jc w:val="left"/>
      </w:pPr>
      <w:r>
        <w:rPr>
          <w:rFonts w:ascii="EB Garamond" w:hAnsi="EB Garamond"/>
          <w:b w:val="0"/>
          <w:sz w:val="22"/>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