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B2B &amp; B2C Marketing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