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Helped introduce tax and finance services that contributed more than 25% of firm revenue, and supported a B2B distributor's expansion into consumer channels while protecting retail relationships. Recent website, CRM, and analytics implementations add technical fluency to that research-led background, with experience translating marketing priorities into practical systems and execution.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Google Search Console • Google Ads Editor • Google Ads API • VS Code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