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102C57"/>
          <w:sz w:val="38"/>
        </w:rPr>
        <w:t>DAVE CALL</w:t>
      </w:r>
    </w:p>
    <w:p>
      <w:pPr>
        <w:spacing w:before="0" w:after="50"/>
        <w:jc w:val="center"/>
      </w:pPr>
      <w:r>
        <w:rPr>
          <w:b/>
          <w:color w:val="28466E"/>
          <w:sz w:val="22"/>
        </w:rPr>
        <w:t>SEARCH ENGINE MARKETING (SEM) &amp; PAID SEARCH SPECIALIST</w:t>
      </w:r>
    </w:p>
    <w:p>
      <w:pPr>
        <w:spacing w:before="0" w:after="90"/>
        <w:jc w:val="center"/>
      </w:pPr>
      <w:r>
        <w:rPr>
          <w:color w:val="464646"/>
          <w:sz w:val="19"/>
        </w:rPr>
        <w:t>Lehi, UT 84043   •   (530) 507-8269   •   mdavidcall@gmail.com   •   linkedin.com/in/mdavidcall   •   Spanish: Fluent</w:t>
      </w:r>
    </w:p>
    <w:p>
      <w:pPr>
        <w:keepNext/>
        <w:spacing w:before="60" w:after="40"/>
        <w:pBdr>
          <w:bottom w:val="single" w:sz="6" w:space="1" w:color="102C57"/>
        </w:pBdr>
      </w:pPr>
      <w:r>
        <w:rPr>
          <w:b/>
          <w:color w:val="102C57"/>
          <w:sz w:val="21"/>
        </w:rPr>
        <w:t>PROFESSIONAL SUMMARY</w:t>
      </w:r>
    </w:p>
    <w:p>
      <w:pPr>
        <w:spacing w:before="20" w:after="70" w:line="276" w:lineRule="auto"/>
      </w:pPr>
      <w:r>
        <w:rPr>
          <w:sz w:val="20"/>
        </w:rPr>
        <w:t>Highly analytical and results-driven SEM Specialist and Paid Search Expert with 15+ years of hands-on experience building, managing, and scaling high-performing Google Ads and multi-channel PPC campaigns across multi-location accounts and agency portfolios. Expert in executing granular keyword research, intent-driven match type architecture, rigorous negative keyword hygiene, and continuous quality score optimization to maximize qualified lead generation (calls, form fills, chats, and dealership appointment requests). Proven agency track record managing 75+ client accounts simultaneously, executing dynamic inventory and promotional ad copy refreshes, and building automated bid monitoring scripts. Deep technical mastery across Google Ads (Search, Display, Video, Shopping/PMax), Bing Ads, Google Analytics (GA4), Google Tag Manager (GTM), Google Looker Studio, and modern AI automation tools (ChatGPT, Claude, Codex, AntiGravity) to streamline cross-channel reporting, conduct account audits, and deliver actionable performance insights.</w:t>
      </w:r>
    </w:p>
    <w:p>
      <w:pPr>
        <w:keepNext/>
        <w:spacing w:before="80" w:after="40"/>
        <w:pBdr>
          <w:bottom w:val="single" w:sz="6" w:space="1" w:color="102C57"/>
        </w:pBdr>
      </w:pPr>
      <w:r>
        <w:rPr>
          <w:b/>
          <w:color w:val="102C57"/>
          <w:sz w:val="21"/>
        </w:rPr>
        <w:t>CORE COMPETENCIES &amp; TECHNICAL SKILLS</w:t>
      </w:r>
    </w:p>
    <w:p>
      <w:pPr>
        <w:spacing w:before="0" w:after="40" w:line="276" w:lineRule="auto"/>
        <w:ind w:left="173"/>
      </w:pPr>
      <w:r>
        <w:rPr>
          <w:b/>
          <w:color w:val="102C57"/>
          <w:sz w:val="19"/>
        </w:rPr>
        <w:t xml:space="preserve">Search Engine Marketing (SEM) &amp; Paid Ads: </w:t>
      </w:r>
      <w:r>
        <w:rPr>
          <w:color w:val="282828"/>
          <w:sz w:val="19"/>
        </w:rPr>
        <w:t>Google Ads (Search, Display, Video, Performance Max, Vehicle Listing Ads/VLAs), Bing Ads, Meta Ads (Facebook &amp; Instagram), Keyword Intent Sculpting, Negative Keyword Management, Bid Management &amp; Smart Bidding Experiments, Quality Score Optimization.</w:t>
      </w:r>
    </w:p>
    <w:p>
      <w:pPr>
        <w:spacing w:before="0" w:after="40" w:line="276" w:lineRule="auto"/>
        <w:ind w:left="173"/>
      </w:pPr>
      <w:r>
        <w:rPr>
          <w:b/>
          <w:color w:val="102C57"/>
          <w:sz w:val="19"/>
        </w:rPr>
        <w:t xml:space="preserve">Lead Tracking &amp; Conversion Optimization: </w:t>
      </w:r>
      <w:r>
        <w:rPr>
          <w:color w:val="282828"/>
          <w:sz w:val="19"/>
        </w:rPr>
        <w:t>Click-to-Call Systems, Phone Call Tracking, Digital Form Lead Capture, Live Chat Tracking, Landing Page A/B Testing, Conversion Rate Optimization (CRO), Local Geo-Fencing &amp; Radius Targeting.</w:t>
      </w:r>
    </w:p>
    <w:p>
      <w:pPr>
        <w:spacing w:before="0" w:after="40" w:line="276" w:lineRule="auto"/>
        <w:ind w:left="173"/>
      </w:pPr>
      <w:r>
        <w:rPr>
          <w:b/>
          <w:color w:val="102C57"/>
          <w:sz w:val="19"/>
        </w:rPr>
        <w:t xml:space="preserve">Analytics, Tracking &amp; Reporting: </w:t>
      </w:r>
      <w:r>
        <w:rPr>
          <w:color w:val="282828"/>
          <w:sz w:val="19"/>
        </w:rPr>
        <w:t>Google Analytics 4 (GA4), Universal Analytics, Google Tag Manager (GTM Container Setup &amp; Custom Event Tracking), Google Looker Studio, Tableau, SQL, Python, Excel/Sheets Advanced Modeling (Pivot Tables, VLOOKUP/XLOOKUP), Funnel.io.</w:t>
      </w:r>
    </w:p>
    <w:p>
      <w:pPr>
        <w:spacing w:before="0" w:after="40" w:line="276" w:lineRule="auto"/>
        <w:ind w:left="173"/>
      </w:pPr>
      <w:r>
        <w:rPr>
          <w:b/>
          <w:color w:val="102C57"/>
          <w:sz w:val="19"/>
        </w:rPr>
        <w:t xml:space="preserve">Multi-Account &amp; Agency Operations: </w:t>
      </w:r>
      <w:r>
        <w:rPr>
          <w:color w:val="282828"/>
          <w:sz w:val="19"/>
        </w:rPr>
        <w:t>Multi-Location Client Account Management, Account Audits &amp; Restructuring, Budget Pacing &amp; Allocation, Monthly Promotional &amp; Inventory Ad Copy Updates, Competitor Intelligence &amp; Search Query Mining.</w:t>
      </w:r>
    </w:p>
    <w:p>
      <w:pPr>
        <w:spacing w:before="0" w:after="40" w:line="276" w:lineRule="auto"/>
        <w:ind w:left="173"/>
      </w:pPr>
      <w:r>
        <w:rPr>
          <w:b/>
          <w:color w:val="102C57"/>
          <w:sz w:val="19"/>
        </w:rPr>
        <w:t xml:space="preserve">AI &amp; Workflow Automation: </w:t>
      </w:r>
      <w:r>
        <w:rPr>
          <w:color w:val="282828"/>
          <w:sz w:val="19"/>
        </w:rPr>
        <w:t>ChatGPT, Claude, Perplexity, Codex, Cursor, AntiGravity (Search Query Analysis, Ad Copy Generation, Automated Audits, Custom Scripting, and Campaign Optimization).</w:t>
      </w:r>
    </w:p>
    <w:p>
      <w:pPr>
        <w:spacing w:before="0" w:after="40" w:line="276" w:lineRule="auto"/>
        <w:ind w:left="173"/>
      </w:pPr>
      <w:r>
        <w:rPr>
          <w:b/>
          <w:color w:val="102C57"/>
          <w:sz w:val="19"/>
        </w:rPr>
        <w:t xml:space="preserve">Creative, CMS &amp; Web Tools: </w:t>
      </w:r>
      <w:r>
        <w:rPr>
          <w:color w:val="282828"/>
          <w:sz w:val="19"/>
        </w:rPr>
        <w:t>Adobe Creative Suite (Photoshop, InDesign, Illustrator), HTML5, CSS3, JavaScript Tracking Scripts, WordPress, Shopify, Magento, HubSpot CRM.</w:t>
      </w:r>
    </w:p>
    <w:p>
      <w:pPr>
        <w:keepNext/>
        <w:spacing w:before="80" w:after="40"/>
        <w:pBdr>
          <w:bottom w:val="single" w:sz="6" w:space="1" w:color="102C57"/>
        </w:pBdr>
      </w:pPr>
      <w:r>
        <w:rPr>
          <w:b/>
          <w:color w:val="102C57"/>
          <w:sz w:val="21"/>
        </w:rPr>
        <w:t>PROFESSIONAL EXPERIENCE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472"/>
        <w:gridCol w:w="5472"/>
      </w:tblGrid>
      <w:tr>
        <w:trPr>
          <w:cantSplit/>
        </w:trPr>
        <w:tc>
          <w:tcPr>
            <w:tcW w:type="dxa" w:w="8352"/>
            <w:tcMar>
              <w:top w:w="0" w:type="dxa"/>
              <w:bottom w:w="0" w:type="dxa"/>
              <w:left w:w="0" w:type="dxa"/>
              <w:right w:w="0" w:type="dxa"/>
            </w:tcMar>
          </w:tcPr>
          <w:p>
            <w:pPr>
              <w:keepNext/>
              <w:spacing w:before="40" w:after="20" w:line="276" w:lineRule="auto"/>
            </w:pPr>
            <w:r>
              <w:rPr>
                <w:b/>
                <w:color w:val="102C57"/>
                <w:sz w:val="20"/>
              </w:rPr>
              <w:t>Marketing Strategist / Senior Analyst</w:t>
            </w:r>
            <w:r>
              <w:rPr>
                <w:color w:val="787878"/>
                <w:sz w:val="20"/>
              </w:rPr>
              <w:t xml:space="preserve"> | </w:t>
            </w:r>
            <w:r>
              <w:rPr>
                <w:b/>
                <w:color w:val="323232"/>
                <w:sz w:val="20"/>
              </w:rPr>
              <w:t>1-800 Contacts — Draper, UT</w:t>
            </w:r>
          </w:p>
        </w:tc>
        <w:tc>
          <w:tcPr>
            <w:tcW w:type="dxa" w:w="2592"/>
            <w:tcMar>
              <w:top w:w="0" w:type="dxa"/>
              <w:bottom w:w="0" w:type="dxa"/>
              <w:left w:w="0" w:type="dxa"/>
              <w:right w:w="0" w:type="dxa"/>
            </w:tcMar>
          </w:tcPr>
          <w:p>
            <w:pPr>
              <w:keepNext/>
              <w:spacing w:before="40" w:after="20" w:line="276" w:lineRule="auto"/>
              <w:jc w:val="right"/>
            </w:pPr>
          </w:p>
        </w:tc>
      </w:tr>
    </w:tbl>
    <w:p>
      <w:pPr>
        <w:pStyle w:val="ListBullet"/>
        <w:spacing w:before="0" w:after="36" w:line="276" w:lineRule="auto"/>
        <w:ind w:left="259"/>
      </w:pPr>
      <w:r>
        <w:rPr>
          <w:b/>
          <w:color w:val="191919"/>
          <w:sz w:val="20"/>
        </w:rPr>
        <w:t xml:space="preserve">Scale &amp; Portfolio Governance: </w:t>
      </w:r>
      <w:r>
        <w:rPr>
          <w:color w:val="282828"/>
          <w:sz w:val="20"/>
        </w:rPr>
        <w:t>Managed $30 million per month in advertising spend with a high-performing team of 4, steering complex search budget pacing and performance efficiency across high-volume acquisition funnels.</w:t>
      </w:r>
    </w:p>
    <w:p>
      <w:pPr>
        <w:pStyle w:val="ListBullet"/>
        <w:spacing w:before="0" w:after="36" w:line="276" w:lineRule="auto"/>
        <w:ind w:left="259"/>
      </w:pPr>
      <w:r>
        <w:rPr>
          <w:b/>
          <w:color w:val="191919"/>
          <w:sz w:val="20"/>
        </w:rPr>
        <w:t xml:space="preserve">Paid Search Optimization &amp; Testing: </w:t>
      </w:r>
      <w:r>
        <w:rPr>
          <w:color w:val="282828"/>
          <w:sz w:val="20"/>
        </w:rPr>
        <w:t>Engineered and optimized large-scale Google Ads and paid search campaigns; analyzed Max CPC vs. smart bidding, Brand vs. Non-Brand target CPAs, and keyword match type structures to eliminate ad waste.</w:t>
      </w:r>
    </w:p>
    <w:p>
      <w:pPr>
        <w:pStyle w:val="ListBullet"/>
        <w:spacing w:before="0" w:after="36" w:line="276" w:lineRule="auto"/>
        <w:ind w:left="259"/>
      </w:pPr>
      <w:r>
        <w:rPr>
          <w:b/>
          <w:color w:val="191919"/>
          <w:sz w:val="20"/>
        </w:rPr>
        <w:t xml:space="preserve">Lead &amp; Call Tracking Systems: </w:t>
      </w:r>
      <w:r>
        <w:rPr>
          <w:color w:val="282828"/>
          <w:sz w:val="20"/>
        </w:rPr>
        <w:t>Conducted comprehensive assessments of Click-to-Call tracking systems, phone lead conversion paths, and multi-touch attribution to accurately credit search touchpoints.</w:t>
      </w:r>
    </w:p>
    <w:p>
      <w:pPr>
        <w:pStyle w:val="ListBullet"/>
        <w:spacing w:before="0" w:after="36" w:line="276" w:lineRule="auto"/>
        <w:ind w:left="259"/>
      </w:pPr>
      <w:r>
        <w:rPr>
          <w:b/>
          <w:color w:val="191919"/>
          <w:sz w:val="20"/>
        </w:rPr>
        <w:t xml:space="preserve">Attribution &amp; Predictive Regression: </w:t>
      </w:r>
      <w:r>
        <w:rPr>
          <w:color w:val="282828"/>
          <w:sz w:val="20"/>
        </w:rPr>
        <w:t>Executed Data-Driven Attribution (DDA) modeling, Customer Lifetime Value (LTV) evaluations, and 5-year predictive regression projections to forecast campaign returns and direct high-yield budget reallocations.</w:t>
      </w:r>
    </w:p>
    <w:p>
      <w:pPr>
        <w:pStyle w:val="ListBullet"/>
        <w:spacing w:before="0" w:after="36" w:line="276" w:lineRule="auto"/>
        <w:ind w:left="259"/>
      </w:pPr>
      <w:r>
        <w:rPr>
          <w:b/>
          <w:color w:val="191919"/>
          <w:sz w:val="20"/>
        </w:rPr>
        <w:t xml:space="preserve">Automated Cross-Channel Reporting: </w:t>
      </w:r>
      <w:r>
        <w:rPr>
          <w:color w:val="282828"/>
          <w:sz w:val="20"/>
        </w:rPr>
        <w:t>Built automated reporting pipelines leveraging Python, SQL, Funnel.io, and Tableau/Looker Studio, consolidating live performance metrics across 10+ paid channels into unified client dashboards.</w:t>
      </w:r>
    </w:p>
    <w:p>
      <w:pPr>
        <w:pStyle w:val="ListBullet"/>
        <w:spacing w:before="0" w:after="36" w:line="276" w:lineRule="auto"/>
        <w:ind w:left="259"/>
      </w:pPr>
      <w:r>
        <w:rPr>
          <w:b/>
          <w:color w:val="191919"/>
          <w:sz w:val="20"/>
        </w:rPr>
        <w:t xml:space="preserve">AI-Assisted Operations: </w:t>
      </w:r>
      <w:r>
        <w:rPr>
          <w:color w:val="282828"/>
          <w:sz w:val="20"/>
        </w:rPr>
        <w:t>Integrated modern AI tools including ChatGPT, Claude, and Codex to accelerate query analysis, negative keyword discovery, and rapid ad copy variations.</w:t>
      </w:r>
    </w:p>
    <w:p>
      <w:r>
        <w:br w:type="page"/>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472"/>
        <w:gridCol w:w="5472"/>
      </w:tblGrid>
      <w:tr>
        <w:trPr>
          <w:cantSplit/>
        </w:trPr>
        <w:tc>
          <w:tcPr>
            <w:tcW w:type="dxa" w:w="8352"/>
            <w:tcMar>
              <w:top w:w="0" w:type="dxa"/>
              <w:bottom w:w="0" w:type="dxa"/>
              <w:left w:w="0" w:type="dxa"/>
              <w:right w:w="0" w:type="dxa"/>
            </w:tcMar>
          </w:tcPr>
          <w:p>
            <w:pPr>
              <w:keepNext/>
              <w:spacing w:before="0" w:after="20" w:line="276" w:lineRule="auto"/>
            </w:pPr>
            <w:r>
              <w:rPr>
                <w:b/>
                <w:color w:val="102C57"/>
                <w:sz w:val="20"/>
              </w:rPr>
              <w:t>Director of Digital Marketing</w:t>
            </w:r>
            <w:r>
              <w:rPr>
                <w:color w:val="787878"/>
                <w:sz w:val="20"/>
              </w:rPr>
              <w:t xml:space="preserve"> | </w:t>
            </w:r>
            <w:r>
              <w:rPr>
                <w:b/>
                <w:color w:val="323232"/>
                <w:sz w:val="20"/>
              </w:rPr>
              <w:t>GRIP6 — Midvale, UT</w:t>
            </w:r>
          </w:p>
        </w:tc>
        <w:tc>
          <w:tcPr>
            <w:tcW w:type="dxa" w:w="2592"/>
            <w:tcMar>
              <w:top w:w="0" w:type="dxa"/>
              <w:bottom w:w="0" w:type="dxa"/>
              <w:left w:w="0" w:type="dxa"/>
              <w:right w:w="0" w:type="dxa"/>
            </w:tcMar>
          </w:tcPr>
          <w:p>
            <w:pPr>
              <w:keepNext/>
              <w:spacing w:before="0" w:after="20" w:line="276" w:lineRule="auto"/>
              <w:jc w:val="right"/>
            </w:pPr>
          </w:p>
        </w:tc>
      </w:tr>
    </w:tbl>
    <w:p>
      <w:pPr>
        <w:pStyle w:val="ListBullet"/>
        <w:spacing w:before="0" w:after="16" w:line="276" w:lineRule="auto"/>
        <w:ind w:left="259"/>
      </w:pPr>
      <w:r>
        <w:rPr>
          <w:b/>
          <w:color w:val="191919"/>
          <w:sz w:val="20"/>
        </w:rPr>
        <w:t xml:space="preserve">Multi-Channel Paid Search &amp; ROAS Growth: </w:t>
      </w:r>
      <w:r>
        <w:rPr>
          <w:color w:val="282828"/>
          <w:sz w:val="20"/>
        </w:rPr>
        <w:t>Directed all paid search and digital media channels (Google Ads, Bing Ads, Amazon, Facebook, Instagram, TikTok) with a $400k/month budget; scaled monthly revenue 4x from $200k/month to $800k/month while increasing ROAS from 1.5 to 3.5.</w:t>
      </w:r>
    </w:p>
    <w:p>
      <w:pPr>
        <w:pStyle w:val="ListBullet"/>
        <w:spacing w:before="0" w:after="16" w:line="276" w:lineRule="auto"/>
        <w:ind w:left="259"/>
      </w:pPr>
      <w:r>
        <w:rPr>
          <w:b/>
          <w:color w:val="191919"/>
          <w:sz w:val="20"/>
        </w:rPr>
        <w:t xml:space="preserve">Measurement &amp; Tracking Infrastructure: </w:t>
      </w:r>
      <w:r>
        <w:rPr>
          <w:color w:val="282828"/>
          <w:sz w:val="20"/>
        </w:rPr>
        <w:t>Architected executive and operational KPI dashboards in Google Looker Studio; configured custom GA4 event tracking and Google Tag Manager (GTM) containers for granular cross-channel attribution.</w:t>
      </w:r>
    </w:p>
    <w:p>
      <w:pPr>
        <w:pStyle w:val="ListBullet"/>
        <w:spacing w:before="0" w:after="16" w:line="276" w:lineRule="auto"/>
        <w:ind w:left="259"/>
      </w:pPr>
      <w:r>
        <w:rPr>
          <w:b/>
          <w:color w:val="191919"/>
          <w:sz w:val="20"/>
        </w:rPr>
        <w:t xml:space="preserve">Landing Page CRO &amp; Search Quality: </w:t>
      </w:r>
      <w:r>
        <w:rPr>
          <w:color w:val="282828"/>
          <w:sz w:val="20"/>
        </w:rPr>
        <w:t>Established rigorous landing page conversion rate optimization (CRO), negative keyword sculpting, and on-page SEO best practices to maximize Quality Scores and lower cost-per-click (CPC).</w:t>
      </w:r>
    </w:p>
    <w:p>
      <w:pPr>
        <w:pStyle w:val="ListBullet"/>
        <w:spacing w:before="0" w:after="16" w:line="276" w:lineRule="auto"/>
        <w:ind w:left="259"/>
      </w:pPr>
      <w:r>
        <w:rPr>
          <w:b/>
          <w:color w:val="191919"/>
          <w:sz w:val="20"/>
        </w:rPr>
        <w:t xml:space="preserve">Cross-Platform Budget Allocation: </w:t>
      </w:r>
      <w:r>
        <w:rPr>
          <w:color w:val="282828"/>
          <w:sz w:val="20"/>
        </w:rPr>
        <w:t>Developed dynamic budget allocation models aligning ad spend directly with real-time product inventory velocity and seasonal promotional calendars.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472"/>
        <w:gridCol w:w="5472"/>
      </w:tblGrid>
      <w:tr>
        <w:trPr>
          <w:cantSplit/>
        </w:trPr>
        <w:tc>
          <w:tcPr>
            <w:tcW w:type="dxa" w:w="8352"/>
            <w:tcMar>
              <w:top w:w="0" w:type="dxa"/>
              <w:bottom w:w="0" w:type="dxa"/>
              <w:left w:w="0" w:type="dxa"/>
              <w:right w:w="0" w:type="dxa"/>
            </w:tcMar>
          </w:tcPr>
          <w:p>
            <w:pPr>
              <w:keepNext/>
              <w:spacing w:before="40" w:after="20" w:line="276" w:lineRule="auto"/>
            </w:pPr>
            <w:r>
              <w:rPr>
                <w:b/>
                <w:color w:val="102C57"/>
                <w:sz w:val="20"/>
              </w:rPr>
              <w:t>Director of E-Commerce &amp; Marketing</w:t>
            </w:r>
            <w:r>
              <w:rPr>
                <w:color w:val="787878"/>
                <w:sz w:val="20"/>
              </w:rPr>
              <w:t xml:space="preserve"> | </w:t>
            </w:r>
            <w:r>
              <w:rPr>
                <w:b/>
                <w:color w:val="323232"/>
                <w:sz w:val="20"/>
              </w:rPr>
              <w:t>Intercon Inc. — Salt Lake City, UT</w:t>
            </w:r>
          </w:p>
        </w:tc>
        <w:tc>
          <w:tcPr>
            <w:tcW w:type="dxa" w:w="2592"/>
            <w:tcMar>
              <w:top w:w="0" w:type="dxa"/>
              <w:bottom w:w="0" w:type="dxa"/>
              <w:left w:w="0" w:type="dxa"/>
              <w:right w:w="0" w:type="dxa"/>
            </w:tcMar>
          </w:tcPr>
          <w:p>
            <w:pPr>
              <w:keepNext/>
              <w:spacing w:before="40" w:after="20" w:line="276" w:lineRule="auto"/>
              <w:jc w:val="right"/>
            </w:pPr>
          </w:p>
        </w:tc>
      </w:tr>
    </w:tbl>
    <w:p>
      <w:pPr>
        <w:pStyle w:val="ListBullet"/>
        <w:spacing w:before="0" w:after="16" w:line="276" w:lineRule="auto"/>
        <w:ind w:left="259"/>
      </w:pPr>
      <w:r>
        <w:rPr>
          <w:b/>
          <w:color w:val="191919"/>
          <w:sz w:val="20"/>
        </w:rPr>
        <w:t xml:space="preserve">Multi-Location &amp; Dealer Marketing: </w:t>
      </w:r>
      <w:r>
        <w:rPr>
          <w:color w:val="282828"/>
          <w:sz w:val="20"/>
        </w:rPr>
        <w:t>Led complete digital marketing and commercial transformation for a major distributor, supporting digital promotional initiatives across 650+ retail and dealer partners nationwide.</w:t>
      </w:r>
    </w:p>
    <w:p>
      <w:pPr>
        <w:pStyle w:val="ListBullet"/>
        <w:spacing w:before="0" w:after="16" w:line="276" w:lineRule="auto"/>
        <w:ind w:left="259"/>
      </w:pPr>
      <w:r>
        <w:rPr>
          <w:b/>
          <w:color w:val="191919"/>
          <w:sz w:val="20"/>
        </w:rPr>
        <w:t xml:space="preserve">Product Feeds &amp; Architecture: </w:t>
      </w:r>
      <w:r>
        <w:rPr>
          <w:color w:val="282828"/>
          <w:sz w:val="20"/>
        </w:rPr>
        <w:t>Structured comprehensive informational and product database architectures (ERP/product catalog feeds) to support multi-channel digital advertising and marketplace listing campaigns.</w:t>
      </w:r>
    </w:p>
    <w:p>
      <w:pPr>
        <w:pStyle w:val="ListBullet"/>
        <w:spacing w:before="0" w:after="16" w:line="276" w:lineRule="auto"/>
        <w:ind w:left="259"/>
      </w:pPr>
      <w:r>
        <w:rPr>
          <w:b/>
          <w:color w:val="191919"/>
          <w:sz w:val="20"/>
        </w:rPr>
        <w:t xml:space="preserve">Creative &amp; Promotional Alignment: </w:t>
      </w:r>
      <w:r>
        <w:rPr>
          <w:color w:val="282828"/>
          <w:sz w:val="20"/>
        </w:rPr>
        <w:t>Directed multi-platform digital advertising, direct promotional outreach, and print/catalog collateral development utilizing Adobe Creative Suite (Photoshop, InDesign, Illustrator).</w:t>
      </w:r>
    </w:p>
    <w:p>
      <w:pPr>
        <w:pStyle w:val="ListBullet"/>
        <w:spacing w:before="0" w:after="16" w:line="276" w:lineRule="auto"/>
        <w:ind w:left="259"/>
      </w:pPr>
      <w:r>
        <w:rPr>
          <w:b/>
          <w:color w:val="191919"/>
          <w:sz w:val="20"/>
        </w:rPr>
        <w:t xml:space="preserve">Financial &amp; Reporting Systems: </w:t>
      </w:r>
      <w:r>
        <w:rPr>
          <w:color w:val="282828"/>
          <w:sz w:val="20"/>
        </w:rPr>
        <w:t>Conducted ongoing cost/benefit and margin analyses to allocate marketing budgets dynamically, building relational databases for accurate cross-department performance tracking.</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472"/>
        <w:gridCol w:w="5472"/>
      </w:tblGrid>
      <w:tr>
        <w:trPr>
          <w:cantSplit/>
        </w:trPr>
        <w:tc>
          <w:tcPr>
            <w:tcW w:type="dxa" w:w="8352"/>
            <w:tcMar>
              <w:top w:w="0" w:type="dxa"/>
              <w:bottom w:w="0" w:type="dxa"/>
              <w:left w:w="0" w:type="dxa"/>
              <w:right w:w="0" w:type="dxa"/>
            </w:tcMar>
          </w:tcPr>
          <w:p>
            <w:pPr>
              <w:keepNext/>
              <w:spacing w:before="40" w:after="20" w:line="276" w:lineRule="auto"/>
            </w:pPr>
            <w:r>
              <w:rPr>
                <w:b/>
                <w:color w:val="102C57"/>
                <w:sz w:val="20"/>
              </w:rPr>
              <w:t>SEM Manager / Project Manager</w:t>
            </w:r>
            <w:r>
              <w:rPr>
                <w:color w:val="787878"/>
                <w:sz w:val="20"/>
              </w:rPr>
              <w:t xml:space="preserve"> | </w:t>
            </w:r>
            <w:r>
              <w:rPr>
                <w:b/>
                <w:color w:val="323232"/>
                <w:sz w:val="20"/>
              </w:rPr>
              <w:t>The Infinite Agency — Dallas, TX</w:t>
            </w:r>
          </w:p>
        </w:tc>
        <w:tc>
          <w:tcPr>
            <w:tcW w:type="dxa" w:w="2592"/>
            <w:tcMar>
              <w:top w:w="0" w:type="dxa"/>
              <w:bottom w:w="0" w:type="dxa"/>
              <w:left w:w="0" w:type="dxa"/>
              <w:right w:w="0" w:type="dxa"/>
            </w:tcMar>
          </w:tcPr>
          <w:p>
            <w:pPr>
              <w:keepNext/>
              <w:spacing w:before="40" w:after="20" w:line="276" w:lineRule="auto"/>
              <w:jc w:val="right"/>
            </w:pPr>
          </w:p>
        </w:tc>
      </w:tr>
    </w:tbl>
    <w:p>
      <w:pPr>
        <w:pStyle w:val="ListBullet"/>
        <w:spacing w:before="0" w:after="16" w:line="276" w:lineRule="auto"/>
        <w:ind w:left="259"/>
      </w:pPr>
      <w:r>
        <w:rPr>
          <w:b/>
          <w:color w:val="191919"/>
          <w:sz w:val="20"/>
        </w:rPr>
        <w:t xml:space="preserve">Agency Portfolio Management (75+ Accounts): </w:t>
      </w:r>
      <w:r>
        <w:rPr>
          <w:color w:val="282828"/>
          <w:sz w:val="20"/>
        </w:rPr>
        <w:t>Built, launched, and managed 75+ Google Ads and paid search accounts with total monthly spend surpassing $276,000, consistently achieving top-tier conversion rates and client ROI benchmarks.</w:t>
      </w:r>
    </w:p>
    <w:p>
      <w:pPr>
        <w:pStyle w:val="ListBullet"/>
        <w:spacing w:before="0" w:after="16" w:line="276" w:lineRule="auto"/>
        <w:ind w:left="259"/>
      </w:pPr>
      <w:r>
        <w:rPr>
          <w:b/>
          <w:color w:val="191919"/>
          <w:sz w:val="20"/>
        </w:rPr>
        <w:t xml:space="preserve">High-Intent Search &amp; Account Sculpting: </w:t>
      </w:r>
      <w:r>
        <w:rPr>
          <w:color w:val="282828"/>
          <w:sz w:val="20"/>
        </w:rPr>
        <w:t>Structured high-intent search campaigns with precise keyword match types, negative keyword scrubbing, ad copy A/B testing, location extensions, and targeted landing page experiences.</w:t>
      </w:r>
    </w:p>
    <w:p>
      <w:pPr>
        <w:pStyle w:val="ListBullet"/>
        <w:spacing w:before="0" w:after="16" w:line="276" w:lineRule="auto"/>
        <w:ind w:left="259"/>
      </w:pPr>
      <w:r>
        <w:rPr>
          <w:b/>
          <w:color w:val="191919"/>
          <w:sz w:val="20"/>
        </w:rPr>
        <w:t xml:space="preserve">Automated Campaign Monitoring Scripts: </w:t>
      </w:r>
      <w:r>
        <w:rPr>
          <w:color w:val="282828"/>
          <w:sz w:val="20"/>
        </w:rPr>
        <w:t>Programmed custom scripts in JavaScript/Python to automate real-time bid monitoring, budget pacing, and performance anomaly alerts, a system adopted agency-wide.</w:t>
      </w:r>
    </w:p>
    <w:p>
      <w:pPr>
        <w:pStyle w:val="ListBullet"/>
        <w:spacing w:before="0" w:after="16" w:line="276" w:lineRule="auto"/>
        <w:ind w:left="259"/>
      </w:pPr>
      <w:r>
        <w:rPr>
          <w:b/>
          <w:color w:val="191919"/>
          <w:sz w:val="20"/>
        </w:rPr>
        <w:t xml:space="preserve">Reporting &amp; Client Performance Reviews: </w:t>
      </w:r>
      <w:r>
        <w:rPr>
          <w:color w:val="282828"/>
          <w:sz w:val="20"/>
        </w:rPr>
        <w:t>Built unified client reporting in Funnel.io and Google Data Studio (Looker Studio), counseling clients across SEO, paid search, remarketing, and monthly promotional campaigns.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472"/>
        <w:gridCol w:w="5472"/>
      </w:tblGrid>
      <w:tr>
        <w:trPr>
          <w:cantSplit/>
        </w:trPr>
        <w:tc>
          <w:tcPr>
            <w:tcW w:type="dxa" w:w="8352"/>
            <w:tcMar>
              <w:top w:w="0" w:type="dxa"/>
              <w:bottom w:w="0" w:type="dxa"/>
              <w:left w:w="0" w:type="dxa"/>
              <w:right w:w="0" w:type="dxa"/>
            </w:tcMar>
          </w:tcPr>
          <w:p>
            <w:pPr>
              <w:keepNext/>
              <w:spacing w:before="40" w:after="20" w:line="276" w:lineRule="auto"/>
            </w:pPr>
            <w:r>
              <w:rPr>
                <w:b/>
                <w:color w:val="102C57"/>
                <w:sz w:val="20"/>
              </w:rPr>
              <w:t>E-Commerce &amp; Digital Marketing Manager</w:t>
            </w:r>
            <w:r>
              <w:rPr>
                <w:color w:val="787878"/>
                <w:sz w:val="20"/>
              </w:rPr>
              <w:t xml:space="preserve"> | </w:t>
            </w:r>
            <w:r>
              <w:rPr>
                <w:b/>
                <w:color w:val="323232"/>
                <w:sz w:val="20"/>
              </w:rPr>
              <w:t>LifeSpan Fitness — Salt Lake City, UT</w:t>
            </w:r>
          </w:p>
        </w:tc>
        <w:tc>
          <w:tcPr>
            <w:tcW w:type="dxa" w:w="2592"/>
            <w:tcMar>
              <w:top w:w="0" w:type="dxa"/>
              <w:bottom w:w="0" w:type="dxa"/>
              <w:left w:w="0" w:type="dxa"/>
              <w:right w:w="0" w:type="dxa"/>
            </w:tcMar>
          </w:tcPr>
          <w:p>
            <w:pPr>
              <w:keepNext/>
              <w:spacing w:before="40" w:after="20" w:line="276" w:lineRule="auto"/>
              <w:jc w:val="right"/>
            </w:pPr>
          </w:p>
        </w:tc>
      </w:tr>
    </w:tbl>
    <w:p>
      <w:pPr>
        <w:pStyle w:val="ListBullet"/>
        <w:spacing w:before="0" w:after="16" w:line="276" w:lineRule="auto"/>
        <w:ind w:left="259"/>
      </w:pPr>
      <w:r>
        <w:rPr>
          <w:b/>
          <w:color w:val="191919"/>
          <w:sz w:val="20"/>
        </w:rPr>
        <w:t xml:space="preserve">Departmental Leadership &amp; Revenue Impact: </w:t>
      </w:r>
      <w:r>
        <w:rPr>
          <w:color w:val="282828"/>
          <w:sz w:val="20"/>
        </w:rPr>
        <w:t>Led an 8-person e-commerce and marketing department; managed $400,000+ paid search and advertising budgets generating $9,000,000+ in revenue (35% of total company revenue).</w:t>
      </w:r>
    </w:p>
    <w:p>
      <w:pPr>
        <w:pStyle w:val="ListBullet"/>
        <w:spacing w:before="0" w:after="16" w:line="276" w:lineRule="auto"/>
        <w:ind w:left="259"/>
      </w:pPr>
      <w:r>
        <w:rPr>
          <w:b/>
          <w:color w:val="191919"/>
          <w:sz w:val="20"/>
        </w:rPr>
        <w:t xml:space="preserve">Paid Search Campaign Architecture: </w:t>
      </w:r>
      <w:r>
        <w:rPr>
          <w:color w:val="282828"/>
          <w:sz w:val="20"/>
        </w:rPr>
        <w:t>Built and managed 150+ high-converting campaigns across Google Ads, Bing Ads, Gemini, and Amazon; conducted keyword research, custom attribution modeling, and multivariate landing page CRO.</w:t>
      </w:r>
    </w:p>
    <w:p>
      <w:pPr>
        <w:pStyle w:val="ListBullet"/>
        <w:spacing w:before="0" w:after="16" w:line="276" w:lineRule="auto"/>
        <w:ind w:left="259"/>
      </w:pPr>
      <w:r>
        <w:rPr>
          <w:b/>
          <w:color w:val="191919"/>
          <w:sz w:val="20"/>
        </w:rPr>
        <w:t xml:space="preserve">Automated Campaign Adjustments: </w:t>
      </w:r>
      <w:r>
        <w:rPr>
          <w:color w:val="282828"/>
          <w:sz w:val="20"/>
        </w:rPr>
        <w:t>Built automated customer acquisition funnels and developed custom JavaScript automations to optimize promotional ad copy and bidding based on real-time business targets.</w:t>
      </w:r>
    </w:p>
    <w:p>
      <w:pPr>
        <w:pStyle w:val="ListBullet"/>
        <w:spacing w:before="0" w:after="16" w:line="276" w:lineRule="auto"/>
        <w:ind w:left="259"/>
      </w:pPr>
      <w:r>
        <w:rPr>
          <w:b/>
          <w:color w:val="191919"/>
          <w:sz w:val="20"/>
        </w:rPr>
        <w:t xml:space="preserve">Executive Analytics &amp; Reporting: </w:t>
      </w:r>
      <w:r>
        <w:rPr>
          <w:color w:val="282828"/>
          <w:sz w:val="20"/>
        </w:rPr>
        <w:t>Monitored and reported core KPIs (CPA, ROAS, conversion paths) using Google Analytics, AdWords Editor, Bing Editor, and QuickBooks to guide performance forecasting.</w:t>
      </w:r>
    </w:p>
    <w:p>
      <w:pPr>
        <w:keepNext/>
        <w:spacing w:before="50" w:after="40"/>
        <w:pBdr>
          <w:bottom w:val="single" w:sz="6" w:space="1" w:color="102C57"/>
        </w:pBdr>
      </w:pPr>
      <w:r>
        <w:rPr>
          <w:b/>
          <w:color w:val="102C57"/>
          <w:sz w:val="21"/>
        </w:rPr>
        <w:t>EDUCATION, LANGUAGES &amp; CERTIFICATIONS</w:t>
      </w:r>
    </w:p>
    <w:p>
      <w:pPr>
        <w:spacing w:before="20" w:after="30" w:line="276" w:lineRule="auto"/>
        <w:ind w:left="173"/>
      </w:pPr>
      <w:r>
        <w:rPr>
          <w:b/>
          <w:sz w:val="19"/>
        </w:rPr>
        <w:t>Brigham Young University — Bachelor of Science (B.S.) in Business Management (2008)</w:t>
      </w:r>
      <w:r>
        <w:rPr>
          <w:color w:val="505050"/>
          <w:sz w:val="19"/>
        </w:rPr>
        <w:t xml:space="preserve">  |  Honors: Entrepreneur of the Year Award; Regional Business Plan Competition (Winner, 2 consecutive years)</w:t>
      </w:r>
    </w:p>
    <w:p>
      <w:pPr>
        <w:spacing w:before="0" w:after="30" w:line="276" w:lineRule="auto"/>
        <w:ind w:left="173"/>
      </w:pPr>
      <w:r>
        <w:rPr>
          <w:b/>
          <w:color w:val="102C57"/>
          <w:sz w:val="19"/>
        </w:rPr>
        <w:t xml:space="preserve">Languages: </w:t>
      </w:r>
      <w:r>
        <w:rPr>
          <w:sz w:val="19"/>
        </w:rPr>
        <w:t>English (Native)  •  Spanish (Fluent — Professional proficiency for bilingual search marketing and copy translation)</w:t>
      </w:r>
    </w:p>
    <w:p>
      <w:pPr>
        <w:spacing w:before="0" w:after="30" w:line="276" w:lineRule="auto"/>
        <w:ind w:left="173"/>
      </w:pPr>
      <w:r>
        <w:rPr>
          <w:b/>
          <w:color w:val="102C57"/>
          <w:sz w:val="19"/>
        </w:rPr>
        <w:t xml:space="preserve">Certifications: </w:t>
      </w:r>
      <w:r>
        <w:rPr>
          <w:sz w:val="19"/>
        </w:rPr>
        <w:t>Google Ads Certified  •  Google Analytics (GA4) Certified  •  Facebook Blueprint Certified (FBC)  •  Bing Ads Certified  •  Amazon Marketing Services (AMS)</w:t>
      </w:r>
    </w:p>
    <w:sectPr w:rsidR="00FC693F" w:rsidRPr="0006063C" w:rsidSect="00034616">
      <w:pgSz w:w="12240" w:h="15840"/>
      <w:pgMar w:top="605" w:right="648" w:bottom="605"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