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GROWTH MARKETING MANAGER | DEMAND GENERATION &amp; ANALYTICS</w:t>
      </w:r>
    </w:p>
    <w:p>
      <w:pPr>
        <w:keepNext w:val="0"/>
        <w:spacing w:line="276" w:lineRule="auto" w:before="0" w:after="60"/>
        <w:jc w:val="center"/>
      </w:pPr>
      <w:r>
        <w:rPr>
          <w:rFonts w:ascii="Calibri" w:hAnsi="Calibri"/>
          <w:b w:val="0"/>
          <w:sz w:val="19"/>
        </w:rPr>
        <w:t>Lehi, UT 84043 • (530) 507-8269 • mdavidcall@gmail.com • linkedin.com/in/mdavidcall</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Hands-on growth marketer with 14+ years building and optimizing multi-channel acquisition programs across SEM, paid social, retargeting, email, organic search, landing pages, and ecommerce. Combines campaign strategy and content execution with disciplined budget management, funnel analysis, attribution, and automated reporting. Experienced with HubSpot, GA4, GTM, Python, SQL, dashboards, and AI-assisted workflows, with a record of turning complex data into clear priorities for sales, marketing, technical, and executive stakeholders.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Demand Generation &amp; Paid Media: </w:t>
      </w:r>
      <w:r>
        <w:rPr>
          <w:rFonts w:ascii="Calibri" w:hAnsi="Calibri"/>
          <w:b w:val="0"/>
          <w:color w:val="262626"/>
          <w:sz w:val="22"/>
        </w:rPr>
        <w:t>SEM, Google Ads, Microsoft/Bing Ads, LinkedIn, Meta, paid social, retargeting, Shopping, Display, Video, organic search, audience targeting, campaign launches, budget pacing, and optimization.</w:t>
      </w:r>
    </w:p>
    <w:p>
      <w:pPr>
        <w:keepNext w:val="0"/>
        <w:spacing w:line="276" w:lineRule="auto" w:before="0" w:after="16"/>
        <w:ind w:left="144"/>
      </w:pPr>
      <w:r>
        <w:rPr>
          <w:rFonts w:ascii="Calibri" w:hAnsi="Calibri"/>
          <w:b/>
          <w:color w:val="102C57"/>
          <w:sz w:val="22"/>
        </w:rPr>
        <w:t xml:space="preserve">Content &amp; Conversion: </w:t>
      </w:r>
      <w:r>
        <w:rPr>
          <w:rFonts w:ascii="Calibri" w:hAnsi="Calibri"/>
          <w:b w:val="0"/>
          <w:color w:val="262626"/>
          <w:sz w:val="22"/>
        </w:rPr>
        <w:t>Landing pages, email and ad copy, offers, calls-to-action, keyword research, SEO, conversion paths, web usability, A/B and multivariate testing, customer journeys, and lead generation.</w:t>
      </w:r>
    </w:p>
    <w:p>
      <w:pPr>
        <w:keepNext w:val="0"/>
        <w:spacing w:line="276" w:lineRule="auto" w:before="0" w:after="16"/>
        <w:ind w:left="144"/>
      </w:pPr>
      <w:r>
        <w:rPr>
          <w:rFonts w:ascii="Calibri" w:hAnsi="Calibri"/>
          <w:b/>
          <w:color w:val="102C57"/>
          <w:sz w:val="22"/>
        </w:rPr>
        <w:t xml:space="preserve">Marketing Automation &amp; Operations: </w:t>
      </w:r>
      <w:r>
        <w:rPr>
          <w:rFonts w:ascii="Calibri" w:hAnsi="Calibri"/>
          <w:b w:val="0"/>
          <w:color w:val="262626"/>
          <w:sz w:val="22"/>
        </w:rPr>
        <w:t>HubSpot, email marketing, campaign workflows, Google Tag Manager, databases, reusable processes, monitoring scripts, project management, and cross-functional delivery.</w:t>
      </w:r>
    </w:p>
    <w:p>
      <w:pPr>
        <w:keepNext w:val="0"/>
        <w:spacing w:line="276" w:lineRule="auto" w:before="0" w:after="16"/>
        <w:ind w:left="144"/>
      </w:pPr>
      <w:r>
        <w:rPr>
          <w:rFonts w:ascii="Calibri" w:hAnsi="Calibri"/>
          <w:b/>
          <w:color w:val="102C57"/>
          <w:sz w:val="22"/>
        </w:rPr>
        <w:t xml:space="preserve">Analytics &amp; Revenue Measurement: </w:t>
      </w:r>
      <w:r>
        <w:rPr>
          <w:rFonts w:ascii="Calibri" w:hAnsi="Calibri"/>
          <w:b w:val="0"/>
          <w:color w:val="262626"/>
          <w:sz w:val="22"/>
        </w:rPr>
        <w:t>GA4, Google Analytics, attribution, LTV, CPA, ROAS, conversion rate, Tableau, Looker Studio, Adobe Analytics, Funnel.io, Excel, forecasting, and KPI dashboards.</w:t>
      </w:r>
    </w:p>
    <w:p>
      <w:pPr>
        <w:keepNext w:val="0"/>
        <w:spacing w:line="276" w:lineRule="auto" w:before="0" w:after="24"/>
        <w:ind w:left="144"/>
      </w:pPr>
      <w:r>
        <w:rPr>
          <w:rFonts w:ascii="Calibri" w:hAnsi="Calibri"/>
          <w:b/>
          <w:color w:val="102C57"/>
          <w:sz w:val="22"/>
        </w:rPr>
        <w:t xml:space="preserve">Technical &amp; AI Workflows: </w:t>
      </w:r>
      <w:r>
        <w:rPr>
          <w:rFonts w:ascii="Calibri" w:hAnsi="Calibri"/>
          <w:b w:val="0"/>
          <w:color w:val="262626"/>
          <w:sz w:val="22"/>
        </w:rPr>
        <w:t>Python, SQL, Databricks, JavaScript, VBA, Google Ads API, reporting automation, statistical modeling, ChatGPT, Claude, Perplexity, Codex, Cursor, and AntiGravity.</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Growth Investment: </w:t>
      </w:r>
      <w:r>
        <w:rPr>
          <w:rFonts w:ascii="Calibri" w:hAnsi="Calibri"/>
          <w:b w:val="0"/>
          <w:color w:val="262626"/>
          <w:sz w:val="22"/>
        </w:rPr>
        <w:t>Managed $30M per month with a team of four, evaluating bids, audiences, promotions, acquisition efficiency, and channel mix to guide growth decisions.</w:t>
      </w:r>
    </w:p>
    <w:p>
      <w:pPr>
        <w:pStyle w:val="ListBullet"/>
        <w:spacing w:line="276" w:lineRule="auto" w:before="0" w:after="4"/>
        <w:ind w:left="259" w:hanging="29"/>
      </w:pPr>
      <w:r>
        <w:rPr>
          <w:rFonts w:ascii="Calibri" w:hAnsi="Calibri"/>
          <w:b/>
          <w:sz w:val="22"/>
        </w:rPr>
        <w:t xml:space="preserve">Funnel Economics: </w:t>
      </w:r>
      <w:r>
        <w:rPr>
          <w:rFonts w:ascii="Calibri" w:hAnsi="Calibri"/>
          <w:b w:val="0"/>
          <w:color w:val="262626"/>
          <w:sz w:val="22"/>
        </w:rPr>
        <w:t>Analyzed lifetime value, attribution, conversion behavior, affiliate economics, promotional performance, and CPA to connect marketing activity with durable customer value.</w:t>
      </w:r>
    </w:p>
    <w:p>
      <w:pPr>
        <w:pStyle w:val="ListBullet"/>
        <w:spacing w:line="276" w:lineRule="auto" w:before="0" w:after="4"/>
        <w:ind w:left="259" w:hanging="29"/>
      </w:pPr>
      <w:r>
        <w:rPr>
          <w:rFonts w:ascii="Calibri" w:hAnsi="Calibri"/>
          <w:b/>
          <w:sz w:val="22"/>
        </w:rPr>
        <w:t xml:space="preserve">Forecasting &amp; Experimentation: </w:t>
      </w:r>
      <w:r>
        <w:rPr>
          <w:rFonts w:ascii="Calibri" w:hAnsi="Calibri"/>
          <w:b w:val="0"/>
          <w:color w:val="262626"/>
          <w:sz w:val="22"/>
        </w:rPr>
        <w:t>Built regression-based scenarios for holdouts, promotions, scaling decisions, and cross-channel reallocations, including an additional $10M investment question.</w:t>
      </w:r>
    </w:p>
    <w:p>
      <w:pPr>
        <w:pStyle w:val="ListBullet"/>
        <w:spacing w:line="276" w:lineRule="auto" w:before="0" w:after="4"/>
        <w:ind w:left="259" w:hanging="29"/>
      </w:pPr>
      <w:r>
        <w:rPr>
          <w:rFonts w:ascii="Calibri" w:hAnsi="Calibri"/>
          <w:b/>
          <w:sz w:val="22"/>
        </w:rPr>
        <w:t xml:space="preserve">Reporting Automation: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Multi-Channel Growth: </w:t>
      </w:r>
      <w:r>
        <w:rPr>
          <w:rFonts w:ascii="Calibri" w:hAnsi="Calibri"/>
          <w:b w:val="0"/>
          <w:color w:val="262626"/>
          <w:sz w:val="22"/>
        </w:rPr>
        <w:t>Managed Google, Bing, Amazon, Meta, Instagram, and TikTok with a $400K monthly budget; increased monthly volume from $200K to $800K while improving ROAS from 1.5 to 3.5.</w:t>
      </w:r>
    </w:p>
    <w:p>
      <w:pPr>
        <w:pStyle w:val="ListBullet"/>
        <w:spacing w:line="276" w:lineRule="auto" w:before="0" w:after="4"/>
        <w:ind w:left="259" w:hanging="29"/>
      </w:pPr>
      <w:r>
        <w:rPr>
          <w:rFonts w:ascii="Calibri" w:hAnsi="Calibri"/>
          <w:b/>
          <w:sz w:val="22"/>
        </w:rPr>
        <w:t xml:space="preserve">Campaign Measurement: </w:t>
      </w:r>
      <w:r>
        <w:rPr>
          <w:rFonts w:ascii="Calibri" w:hAnsi="Calibri"/>
          <w:b w:val="0"/>
          <w:color w:val="262626"/>
          <w:sz w:val="22"/>
        </w:rPr>
        <w:t>Implemented custom GA4 and Google Tag Manager reporting and built Looker Studio KPIs supporting website, email, inventory, engineering, management, and budget decisions.</w:t>
      </w:r>
    </w:p>
    <w:p>
      <w:pPr>
        <w:pStyle w:val="ListBullet"/>
        <w:spacing w:line="276" w:lineRule="auto" w:before="0" w:after="4"/>
        <w:ind w:left="259" w:hanging="29"/>
      </w:pPr>
      <w:r>
        <w:rPr>
          <w:rFonts w:ascii="Calibri" w:hAnsi="Calibri"/>
          <w:b/>
          <w:sz w:val="22"/>
        </w:rPr>
        <w:t xml:space="preserve">Content &amp; Conversion: </w:t>
      </w:r>
      <w:r>
        <w:rPr>
          <w:rFonts w:ascii="Calibri" w:hAnsi="Calibri"/>
          <w:b w:val="0"/>
          <w:color w:val="262626"/>
          <w:sz w:val="22"/>
        </w:rPr>
        <w:t>Directed on-page SEO and website optimization, aligning keywords, product content, landing experiences, email, promotions, and measurement across teams.</w:t>
      </w:r>
    </w:p>
    <w:p>
      <w:pPr>
        <w:pStyle w:val="ListBullet"/>
        <w:spacing w:line="276" w:lineRule="auto" w:before="0" w:after="4"/>
        <w:ind w:left="259" w:hanging="29"/>
      </w:pPr>
      <w:r>
        <w:rPr>
          <w:rFonts w:ascii="Calibri" w:hAnsi="Calibri"/>
          <w:b/>
          <w:sz w:val="22"/>
        </w:rPr>
        <w:t xml:space="preserve">Operating Rhythm: </w:t>
      </w:r>
      <w:r>
        <w:rPr>
          <w:rFonts w:ascii="Calibri" w:hAnsi="Calibri"/>
          <w:b w:val="0"/>
          <w:color w:val="262626"/>
          <w:sz w:val="22"/>
        </w:rPr>
        <w:t>Managed interconnected paid media, ecommerce, analytics, email, and reporting workstreams while balancing growth, efficiency, deadlines, and changing priorities.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sz w:val="22"/>
        </w:rPr>
        <w:t xml:space="preserve">Complex B2B Marketing: </w:t>
      </w:r>
      <w:r>
        <w:rPr>
          <w:rFonts w:ascii="Calibri" w:hAnsi="Calibri"/>
          <w:b w:val="0"/>
          <w:color w:val="262626"/>
          <w:sz w:val="22"/>
        </w:rPr>
        <w:t>Led ecommerce and marketing for a large distributor, expanding B2C platforms while supporting 650+ retail partners and a complex B2B operation.</w:t>
      </w:r>
    </w:p>
    <w:p>
      <w:pPr>
        <w:pStyle w:val="ListBullet"/>
        <w:spacing w:line="276" w:lineRule="auto" w:before="0" w:after="4"/>
        <w:ind w:left="259" w:hanging="29"/>
      </w:pPr>
      <w:r>
        <w:rPr>
          <w:rFonts w:ascii="Calibri" w:hAnsi="Calibri"/>
          <w:b/>
          <w:sz w:val="22"/>
        </w:rPr>
        <w:t xml:space="preserve">Channel Expansion: </w:t>
      </w:r>
      <w:r>
        <w:rPr>
          <w:rFonts w:ascii="Calibri" w:hAnsi="Calibri"/>
          <w:b w:val="0"/>
          <w:color w:val="262626"/>
          <w:sz w:val="22"/>
        </w:rPr>
        <w:t>Expanded owned ecommerce and Amazon Vendor and Seller Central operations into CastleGate, Target.com, Costco.com, and additional customer-acquisition channels.</w:t>
      </w:r>
    </w:p>
    <w:p>
      <w:pPr>
        <w:pStyle w:val="ListBullet"/>
        <w:spacing w:line="276" w:lineRule="auto" w:before="0" w:after="4"/>
        <w:ind w:left="259" w:hanging="29"/>
      </w:pPr>
      <w:r>
        <w:rPr>
          <w:rFonts w:ascii="Calibri" w:hAnsi="Calibri"/>
          <w:b/>
          <w:sz w:val="22"/>
        </w:rPr>
        <w:t xml:space="preserve">Data-Driven Planning: </w:t>
      </w:r>
      <w:r>
        <w:rPr>
          <w:rFonts w:ascii="Calibri" w:hAnsi="Calibri"/>
          <w:b w:val="0"/>
          <w:color w:val="262626"/>
          <w:sz w:val="22"/>
        </w:rPr>
        <w:t>Built and managed databases, analyzed performance daily, identified product niches, and evaluated marketing initiatives through project-level cost/benefit decisions.</w:t>
      </w:r>
    </w:p>
    <w:p>
      <w:pPr>
        <w:pStyle w:val="ListBullet"/>
        <w:spacing w:line="276" w:lineRule="auto" w:before="0" w:after="4"/>
        <w:ind w:left="259" w:hanging="29"/>
      </w:pPr>
      <w:r>
        <w:rPr>
          <w:rFonts w:ascii="Calibri" w:hAnsi="Calibri"/>
          <w:b/>
          <w:sz w:val="22"/>
        </w:rPr>
        <w:t xml:space="preserve">Cross-Functional Delivery: </w:t>
      </w:r>
      <w:r>
        <w:rPr>
          <w:rFonts w:ascii="Calibri" w:hAnsi="Calibri"/>
          <w:b w:val="0"/>
          <w:color w:val="262626"/>
          <w:sz w:val="22"/>
        </w:rPr>
        <w:t>Partnered with IT, operations, finance, product development, HR, and sales leaders to deliver marketing, reporting, and process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Campaign Portfolio: </w:t>
      </w:r>
      <w:r>
        <w:rPr>
          <w:rFonts w:ascii="Calibri" w:hAnsi="Calibri"/>
          <w:b w:val="0"/>
          <w:color w:val="262626"/>
          <w:sz w:val="22"/>
        </w:rPr>
        <w:t>Built and managed 75+ Google Ads accounts totaling more than $276K per month across clients with different audiences, messages, objectives, and budgets.</w:t>
      </w:r>
    </w:p>
    <w:p>
      <w:pPr>
        <w:pStyle w:val="ListBullet"/>
        <w:spacing w:line="276" w:lineRule="auto" w:before="0" w:after="4"/>
        <w:ind w:left="259" w:hanging="29"/>
      </w:pPr>
      <w:r>
        <w:rPr>
          <w:rFonts w:ascii="Calibri" w:hAnsi="Calibri"/>
          <w:b/>
          <w:sz w:val="22"/>
        </w:rPr>
        <w:t xml:space="preserve">Integrated Programs: </w:t>
      </w:r>
      <w:r>
        <w:rPr>
          <w:rFonts w:ascii="Calibri" w:hAnsi="Calibri"/>
          <w:b w:val="0"/>
          <w:color w:val="262626"/>
          <w:sz w:val="22"/>
        </w:rPr>
        <w:t>Advised clients on paid search, display, remarketing, YouTube, social, SEO, email, and website development, translating performance data into campaign priorities.</w:t>
      </w:r>
    </w:p>
    <w:p>
      <w:pPr>
        <w:pStyle w:val="ListBullet"/>
        <w:spacing w:line="276" w:lineRule="auto" w:before="0" w:after="4"/>
        <w:ind w:left="259" w:hanging="29"/>
      </w:pPr>
      <w:r>
        <w:rPr>
          <w:rFonts w:ascii="Calibri" w:hAnsi="Calibri"/>
          <w:b/>
          <w:sz w:val="22"/>
        </w:rPr>
        <w:t xml:space="preserve">Reporting &amp; Attribution: </w:t>
      </w:r>
      <w:r>
        <w:rPr>
          <w:rFonts w:ascii="Calibri" w:hAnsi="Calibri"/>
          <w:b w:val="0"/>
          <w:color w:val="262626"/>
          <w:sz w:val="22"/>
        </w:rPr>
        <w:t>Consolidated data with Funnel.io, presented Looker Studio reporting, and developed attribution and conversion models to clarify channel performance and next steps.</w:t>
      </w:r>
    </w:p>
    <w:p>
      <w:pPr>
        <w:pStyle w:val="ListBullet"/>
        <w:spacing w:line="276" w:lineRule="auto" w:before="0" w:after="4"/>
        <w:ind w:left="259" w:hanging="29"/>
      </w:pPr>
      <w:r>
        <w:rPr>
          <w:rFonts w:ascii="Calibri" w:hAnsi="Calibri"/>
          <w:b/>
          <w:sz w:val="22"/>
        </w:rPr>
        <w:t xml:space="preserve">Testing &amp; Automation: </w:t>
      </w:r>
      <w:r>
        <w:rPr>
          <w:rFonts w:ascii="Calibri" w:hAnsi="Calibri"/>
          <w:b w:val="0"/>
          <w:color w:val="262626"/>
          <w:sz w:val="22"/>
        </w:rPr>
        <w:t>Designed multivariate tests, built continuous monitoring scripts, and created a standardized quality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Acquisition Leadership: </w:t>
      </w:r>
      <w:r>
        <w:rPr>
          <w:rFonts w:ascii="Calibri" w:hAnsi="Calibri"/>
          <w:b w:val="0"/>
          <w:color w:val="262626"/>
          <w:sz w:val="22"/>
        </w:rPr>
        <w:t>Led an eight-person ecommerce department responsible for paid search, outreach, lead generation, and customer acquisition across the United States, Canada, and the UK.</w:t>
      </w:r>
    </w:p>
    <w:p>
      <w:pPr>
        <w:pStyle w:val="ListBullet"/>
        <w:spacing w:line="276" w:lineRule="auto" w:before="0" w:after="4"/>
        <w:ind w:left="259" w:hanging="29"/>
      </w:pPr>
      <w:r>
        <w:rPr>
          <w:rFonts w:ascii="Calibri" w:hAnsi="Calibri"/>
          <w:b/>
          <w:sz w:val="22"/>
        </w:rPr>
        <w:t xml:space="preserve">Revenue &amp; Scale: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sz w:val="22"/>
        </w:rPr>
        <w:t xml:space="preserve">Conversion Content: </w:t>
      </w:r>
      <w:r>
        <w:rPr>
          <w:rFonts w:ascii="Calibri" w:hAnsi="Calibri"/>
          <w:b w:val="0"/>
          <w:color w:val="262626"/>
          <w:sz w:val="22"/>
        </w:rPr>
        <w:t>Analyzed keywords, audiences, competitors, funnels, and conversion paths; developed tests; and optimized landing pages, offers, ad copy, and creative.</w:t>
      </w:r>
    </w:p>
    <w:p>
      <w:pPr>
        <w:pStyle w:val="ListBullet"/>
        <w:spacing w:line="276" w:lineRule="auto" w:before="0" w:after="4"/>
        <w:ind w:left="259" w:hanging="29"/>
      </w:pPr>
      <w:r>
        <w:rPr>
          <w:rFonts w:ascii="Calibri" w:hAnsi="Calibri"/>
          <w:b/>
          <w:sz w:val="22"/>
        </w:rPr>
        <w:t xml:space="preserve">Cross-Channel Execution: </w:t>
      </w:r>
      <w:r>
        <w:rPr>
          <w:rFonts w:ascii="Calibri" w:hAnsi="Calibri"/>
          <w:b w:val="0"/>
          <w:color w:val="262626"/>
          <w:sz w:val="22"/>
        </w:rPr>
        <w:t>Managed search, Shopping, Display, Remarketing, Video, email, social, and local campaigns using advertising editors, Excel, and analytics platforms.</w:t>
      </w:r>
    </w:p>
    <w:p>
      <w:pPr>
        <w:pStyle w:val="ListBullet"/>
        <w:spacing w:line="276" w:lineRule="auto" w:before="0" w:after="4"/>
        <w:ind w:left="259" w:hanging="29"/>
      </w:pPr>
      <w:r>
        <w:rPr>
          <w:rFonts w:ascii="Calibri" w:hAnsi="Calibri"/>
          <w:b/>
          <w:sz w:val="22"/>
        </w:rPr>
        <w:t xml:space="preserve">Planning &amp; Stakeholders: </w:t>
      </w:r>
      <w:r>
        <w:rPr>
          <w:rFonts w:ascii="Calibri" w:hAnsi="Calibri"/>
          <w:b w:val="0"/>
          <w:color w:val="262626"/>
          <w:sz w:val="22"/>
        </w:rPr>
        <w:t>Set goals, annual projections, and KPIs with senior management and partnered with web development on site changes, promotions, measurement, and business priorities.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