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AGENCY CLIENT STRATEGY | DIGITAL MARKETING &amp; ANALYTICS</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Client-facing digital marketing leader with 14+ years across agency account strategy, paid media, ecommerce, and analytics. Managed 75+ Google Ads accounts, consulted with clients on business goals and channel investment, and translated performance data into recommendations. Led teams, built reporting processes, and worked with sales, finance, operations, IT, and product stakeholders to prioritize growth opportunities.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Client Strategy: </w:t>
      </w:r>
      <w:r>
        <w:rPr>
          <w:rFonts w:ascii="Calibri" w:hAnsi="Calibri"/>
          <w:b w:val="0"/>
          <w:color w:val="262626"/>
          <w:sz w:val="22"/>
        </w:rPr>
        <w:t>Agency consultation, business-goal discovery, account management, stakeholder presentations, and cross-channel recommendations.</w:t>
      </w:r>
    </w:p>
    <w:p>
      <w:pPr>
        <w:keepNext w:val="0"/>
        <w:spacing w:line="276" w:lineRule="auto" w:before="0" w:after="16"/>
        <w:ind w:left="144"/>
      </w:pPr>
      <w:r>
        <w:rPr>
          <w:rFonts w:ascii="Calibri" w:hAnsi="Calibri"/>
          <w:b/>
          <w:color w:val="102C57"/>
          <w:sz w:val="22"/>
        </w:rPr>
        <w:t xml:space="preserve">Growth &amp; Economics: </w:t>
      </w:r>
      <w:r>
        <w:rPr>
          <w:rFonts w:ascii="Calibri" w:hAnsi="Calibri"/>
          <w:b w:val="0"/>
          <w:color w:val="262626"/>
          <w:sz w:val="22"/>
        </w:rPr>
        <w:t>Budget allocation, customer acquisition, ROI, ROAS, CPA, LTV, forecasting, and cost-benefit analysis.</w:t>
      </w:r>
    </w:p>
    <w:p>
      <w:pPr>
        <w:keepNext w:val="0"/>
        <w:spacing w:line="276" w:lineRule="auto" w:before="0" w:after="16"/>
        <w:ind w:left="144"/>
      </w:pPr>
      <w:r>
        <w:rPr>
          <w:rFonts w:ascii="Calibri" w:hAnsi="Calibri"/>
          <w:b/>
          <w:color w:val="102C57"/>
          <w:sz w:val="22"/>
        </w:rPr>
        <w:t xml:space="preserve">Analytics &amp; Reporting: </w:t>
      </w:r>
      <w:r>
        <w:rPr>
          <w:rFonts w:ascii="Calibri" w:hAnsi="Calibri"/>
          <w:b w:val="0"/>
          <w:color w:val="262626"/>
          <w:sz w:val="22"/>
        </w:rPr>
        <w:t>Tableau, Looker Studio, Funnel.io, GA4, SQL, Python, Databricks, attribution, and KPI reporting.</w:t>
      </w:r>
    </w:p>
    <w:p>
      <w:pPr>
        <w:keepNext w:val="0"/>
        <w:spacing w:line="276" w:lineRule="auto" w:before="0" w:after="16"/>
        <w:ind w:left="144"/>
      </w:pPr>
      <w:r>
        <w:rPr>
          <w:rFonts w:ascii="Calibri" w:hAnsi="Calibri"/>
          <w:b/>
          <w:color w:val="102C57"/>
          <w:sz w:val="22"/>
        </w:rPr>
        <w:t xml:space="preserve">Cross-Functional Delivery: </w:t>
      </w:r>
      <w:r>
        <w:rPr>
          <w:rFonts w:ascii="Calibri" w:hAnsi="Calibri"/>
          <w:b w:val="0"/>
          <w:color w:val="262626"/>
          <w:sz w:val="22"/>
        </w:rPr>
        <w:t>Sales, finance, operations, IT, product, website, and creative coordination; repeatable agency processes.</w:t>
      </w:r>
    </w:p>
    <w:p>
      <w:pPr>
        <w:keepNext w:val="0"/>
        <w:spacing w:line="276" w:lineRule="auto" w:before="0" w:after="24"/>
        <w:ind w:left="144"/>
      </w:pPr>
      <w:r>
        <w:rPr>
          <w:rFonts w:ascii="Calibri" w:hAnsi="Calibri"/>
          <w:b/>
          <w:color w:val="102C57"/>
          <w:sz w:val="22"/>
        </w:rPr>
        <w:t xml:space="preserve">Paid Media Scope: </w:t>
      </w:r>
      <w:r>
        <w:rPr>
          <w:rFonts w:ascii="Calibri" w:hAnsi="Calibri"/>
          <w:b w:val="0"/>
          <w:color w:val="262626"/>
          <w:sz w:val="22"/>
        </w:rPr>
        <w:t>Google Ads, Microsoft Ads, Meta, Amazon, Search, Shopping, Display, YouTube, lead generation, and campaign optimization.</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