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MARKETING LEADERSHIP | CROSS-FUNCTIONAL STRATEGY &amp; DELIVERY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leader with 14+ years directing ecommerce, client strategy, campaign performance, and cross-functional initiatives. Led an eight-person ecommerce team, coordinated priorities with sales, operations, finance, IT, and product partners, and used project-level cost-benefit analysis to guide growth investments. Experienced presenting results to clients and senior leaders and building repeatable reporting and account-management processes.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Collaboration: </w:t>
      </w:r>
      <w:r>
        <w:rPr>
          <w:rFonts w:ascii="Calibri" w:hAnsi="Calibri"/>
          <w:b w:val="0"/>
          <w:color w:val="262626"/>
          <w:sz w:val="22"/>
        </w:rPr>
        <w:t>Eight-person team leadership, agency client consultation, sales and operations coordination, and senior leadership presentations.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Marketing Strategy: </w:t>
      </w:r>
      <w:r>
        <w:rPr>
          <w:rFonts w:ascii="Calibri" w:hAnsi="Calibri"/>
          <w:b w:val="0"/>
          <w:color w:val="262626"/>
          <w:sz w:val="22"/>
        </w:rPr>
        <w:t>Business-goal discovery, audience and competitive research, messaging recommendations, campaign planning, and growth prioritization.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Processes &amp; Quality: </w:t>
      </w:r>
      <w:r>
        <w:rPr>
          <w:rFonts w:ascii="Calibri" w:hAnsi="Calibri"/>
          <w:b w:val="0"/>
          <w:color w:val="262626"/>
          <w:sz w:val="22"/>
        </w:rPr>
        <w:t>Account quality assurance, repeatable agency processes, project prioritization, cross-functional reporting, and cost-benefit analysis.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Measurement: </w:t>
      </w:r>
      <w:r>
        <w:rPr>
          <w:rFonts w:ascii="Calibri" w:hAnsi="Calibri"/>
          <w:b w:val="0"/>
          <w:color w:val="262626"/>
          <w:sz w:val="22"/>
        </w:rPr>
        <w:t>GA4, Google Tag Manager, Tableau, Looker Studio, Funnel.io, attribution, conversion analysis, and KPI reporting.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Digital Execution: </w:t>
      </w:r>
      <w:r>
        <w:rPr>
          <w:rFonts w:ascii="Calibri" w:hAnsi="Calibri"/>
          <w:b w:val="0"/>
          <w:color w:val="262626"/>
          <w:sz w:val="22"/>
        </w:rPr>
        <w:t>Paid search, social, SEO collaboration, ecommerce, lead generation, A/B testing, and automated reporting.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