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PYTHON, DATABRICKS &amp; MODELING</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Digital marketing analyst and leader with 14+ years turning campaign and customer data into practical decisions. Built Tableau dashboards and automated weekly reporting across more than 10 channels using Python, Databricks, SQL, Excel, and Funnel.io. Applied regression models, holdouts, geo tests, attribution, and forecasting to evaluate investment options, and communicated findings to clients and senior leaders.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Data &amp; Programming: </w:t>
      </w:r>
      <w:r>
        <w:rPr>
          <w:rFonts w:ascii="Calibri" w:hAnsi="Calibri"/>
          <w:b w:val="0"/>
          <w:color w:val="262626"/>
          <w:sz w:val="22"/>
        </w:rPr>
        <w:t>Python, Databricks, SQL, Excel, marketing databases, automated reporting, and monitoring scripts.</w:t>
      </w:r>
    </w:p>
    <w:p>
      <w:pPr>
        <w:keepNext w:val="0"/>
        <w:spacing w:line="276" w:lineRule="auto" w:before="0" w:after="16"/>
        <w:ind w:left="144"/>
      </w:pPr>
      <w:r>
        <w:rPr>
          <w:rFonts w:ascii="Calibri" w:hAnsi="Calibri"/>
          <w:b/>
          <w:color w:val="102C57"/>
          <w:sz w:val="22"/>
        </w:rPr>
        <w:t xml:space="preserve">Analytics &amp; Visualization: </w:t>
      </w:r>
      <w:r>
        <w:rPr>
          <w:rFonts w:ascii="Calibri" w:hAnsi="Calibri"/>
          <w:b w:val="0"/>
          <w:color w:val="262626"/>
          <w:sz w:val="22"/>
        </w:rPr>
        <w:t>Tableau, Looker Studio, GA4, Funnel.io, dashboards, KPI reporting, and conversion analysis.</w:t>
      </w:r>
    </w:p>
    <w:p>
      <w:pPr>
        <w:keepNext w:val="0"/>
        <w:spacing w:line="276" w:lineRule="auto" w:before="0" w:after="16"/>
        <w:ind w:left="144"/>
      </w:pPr>
      <w:r>
        <w:rPr>
          <w:rFonts w:ascii="Calibri" w:hAnsi="Calibri"/>
          <w:b/>
          <w:color w:val="102C57"/>
          <w:sz w:val="22"/>
        </w:rPr>
        <w:t xml:space="preserve">Modeling &amp; Experiments: </w:t>
      </w:r>
      <w:r>
        <w:rPr>
          <w:rFonts w:ascii="Calibri" w:hAnsi="Calibri"/>
          <w:b w:val="0"/>
          <w:color w:val="262626"/>
          <w:sz w:val="22"/>
        </w:rPr>
        <w:t>Regression models, holdouts, geo tests, forecasting, A/B and multivariate testing, and budget scenarios.</w:t>
      </w:r>
    </w:p>
    <w:p>
      <w:pPr>
        <w:keepNext w:val="0"/>
        <w:spacing w:line="276" w:lineRule="auto" w:before="0" w:after="16"/>
        <w:ind w:left="144"/>
      </w:pPr>
      <w:r>
        <w:rPr>
          <w:rFonts w:ascii="Calibri" w:hAnsi="Calibri"/>
          <w:b/>
          <w:color w:val="102C57"/>
          <w:sz w:val="22"/>
        </w:rPr>
        <w:t xml:space="preserve">Business Communication: </w:t>
      </w:r>
      <w:r>
        <w:rPr>
          <w:rFonts w:ascii="Calibri" w:hAnsi="Calibri"/>
          <w:b w:val="0"/>
          <w:color w:val="262626"/>
          <w:sz w:val="22"/>
        </w:rPr>
        <w:t>Client consultation, senior leadership presentations, cross-functional reporting, and investment recommendations.</w:t>
      </w:r>
    </w:p>
    <w:p>
      <w:pPr>
        <w:keepNext w:val="0"/>
        <w:spacing w:line="276" w:lineRule="auto" w:before="0" w:after="24"/>
        <w:ind w:left="144"/>
      </w:pPr>
      <w:r>
        <w:rPr>
          <w:rFonts w:ascii="Calibri" w:hAnsi="Calibri"/>
          <w:b/>
          <w:color w:val="102C57"/>
          <w:sz w:val="22"/>
        </w:rPr>
        <w:t xml:space="preserve">Marketing Measurement: </w:t>
      </w:r>
      <w:r>
        <w:rPr>
          <w:rFonts w:ascii="Calibri" w:hAnsi="Calibri"/>
          <w:b w:val="0"/>
          <w:color w:val="262626"/>
          <w:sz w:val="22"/>
        </w:rPr>
        <w:t>Attribution, customer journeys, LTV, CPA, ROI, ROAS, campaign monitoring, and channel performance.</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