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76" w:lineRule="auto" w:before="0" w:after="10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keepNext w:val="0"/>
        <w:spacing w:line="276" w:lineRule="auto" w:before="0" w:after="24"/>
        <w:jc w:val="center"/>
      </w:pPr>
      <w:r>
        <w:rPr>
          <w:rFonts w:ascii="Calibri" w:hAnsi="Calibri"/>
          <w:b/>
          <w:color w:val="28466E"/>
          <w:sz w:val="23"/>
        </w:rPr>
        <w:t>PERFORMANCE MARKETING LEADERSHIP | GROWTH &amp; ANALYTICS</w:t>
      </w:r>
    </w:p>
    <w:p>
      <w:pPr>
        <w:keepNext w:val="0"/>
        <w:spacing w:line="276" w:lineRule="auto" w:before="0" w:after="60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line="276" w:lineRule="auto" w:before="4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keepNext w:val="0"/>
        <w:spacing w:line="276" w:lineRule="auto" w:before="0" w:after="40"/>
      </w:pPr>
      <w:r>
        <w:rPr>
          <w:rFonts w:ascii="Calibri" w:hAnsi="Calibri"/>
          <w:b w:val="0"/>
          <w:sz w:val="22"/>
        </w:rPr>
        <w:t>Performance marketing leader with 14+ years managing acquisition, ecommerce, agency programs, and multi-channel investment. Managed up to $30 million per month in paid media with a four-person team and led an eight-person ecommerce group. Uses attribution, customer journey analysis, regression models, and forecasting to guide budget decisions, while presenting practical recommendations to clients and senior leaders.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Growth &amp; Acquisition: </w:t>
      </w:r>
      <w:r>
        <w:rPr>
          <w:rFonts w:ascii="Calibri" w:hAnsi="Calibri"/>
          <w:b w:val="0"/>
          <w:color w:val="262626"/>
          <w:sz w:val="22"/>
        </w:rPr>
        <w:t>Google Ads, Microsoft Ads, Meta, Amazon, paid search, social, lead generation, ecommerce, and customer acquisition.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Investment &amp; Economics: </w:t>
      </w:r>
      <w:r>
        <w:rPr>
          <w:rFonts w:ascii="Calibri" w:hAnsi="Calibri"/>
          <w:b w:val="0"/>
          <w:color w:val="262626"/>
          <w:sz w:val="22"/>
        </w:rPr>
        <w:t>Budget allocation, ROI, ROAS, CPA, LTV, forecasting, regression models, holdouts, and cost-benefit analysis.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Customer &amp; Market Insight: </w:t>
      </w:r>
      <w:r>
        <w:rPr>
          <w:rFonts w:ascii="Calibri" w:hAnsi="Calibri"/>
          <w:b w:val="0"/>
          <w:color w:val="262626"/>
          <w:sz w:val="22"/>
        </w:rPr>
        <w:t>Customer journeys, audience analysis, keyword and competitive research, attribution, conversion paths, and campaign testing.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Leadership &amp; Communication: </w:t>
      </w:r>
      <w:r>
        <w:rPr>
          <w:rFonts w:ascii="Calibri" w:hAnsi="Calibri"/>
          <w:b w:val="0"/>
          <w:color w:val="262626"/>
          <w:sz w:val="22"/>
        </w:rPr>
        <w:t>Four-person paid media team management, eight-person ecommerce team leadership, client consultation, and senior leadership presentations.</w:t>
      </w:r>
    </w:p>
    <w:p>
      <w:pPr>
        <w:keepNext w:val="0"/>
        <w:spacing w:line="276" w:lineRule="auto" w:before="0" w:after="24"/>
        <w:ind w:left="144"/>
      </w:pPr>
      <w:r>
        <w:rPr>
          <w:rFonts w:ascii="Calibri" w:hAnsi="Calibri"/>
          <w:b/>
          <w:color w:val="102C57"/>
          <w:sz w:val="22"/>
        </w:rPr>
        <w:t xml:space="preserve">Reporting &amp; Optimization: </w:t>
      </w:r>
      <w:r>
        <w:rPr>
          <w:rFonts w:ascii="Calibri" w:hAnsi="Calibri"/>
          <w:b w:val="0"/>
          <w:color w:val="262626"/>
          <w:sz w:val="22"/>
        </w:rPr>
        <w:t>Tableau, Looker Studio, GA4, Google Tag Manager, SQL, Python, Databricks, automated reporting, and KPI planning.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Marketing Strategist / Analyst | 1-800 Contacts — Draper,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Investment Planning: </w:t>
      </w:r>
      <w:r>
        <w:rPr>
          <w:rFonts w:ascii="Calibri" w:hAnsi="Calibri"/>
          <w:b w:val="0"/>
          <w:color w:val="262626"/>
          <w:sz w:val="22"/>
        </w:rPr>
        <w:t>Used regression models, holdouts, geo tests, scale-up/down analysis, and budget reallocation scenarios to forecast outcomes and present credible investment recommendations.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Customer Journey Analysis: </w:t>
      </w:r>
      <w:r>
        <w:rPr>
          <w:rFonts w:ascii="Calibri" w:hAnsi="Calibri"/>
          <w:b w:val="0"/>
          <w:color w:val="262626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Reporting Automation: </w:t>
      </w:r>
      <w:r>
        <w:rPr>
          <w:rFonts w:ascii="Calibri" w:hAnsi="Calibri"/>
          <w:b w:val="0"/>
          <w:color w:val="262626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Bidding &amp; Audience Analysis: </w:t>
      </w:r>
      <w:r>
        <w:rPr>
          <w:rFonts w:ascii="Calibri" w:hAnsi="Calibri"/>
          <w:b w:val="0"/>
          <w:color w:val="262626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Digital Marketing | GRIP6 — Midvale,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Growth &amp; Efficiency: </w:t>
      </w:r>
      <w:r>
        <w:rPr>
          <w:rFonts w:ascii="Calibri" w:hAnsi="Calibri"/>
          <w:b w:val="0"/>
          <w:color w:val="262626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Measurement &amp; Visibility: </w:t>
      </w:r>
      <w:r>
        <w:rPr>
          <w:rFonts w:ascii="Calibri" w:hAnsi="Calibri"/>
          <w:b w:val="0"/>
          <w:color w:val="262626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Cross-Functional Execution: </w:t>
      </w:r>
      <w:r>
        <w:rPr>
          <w:rFonts w:ascii="Calibri" w:hAnsi="Calibri"/>
          <w:b w:val="0"/>
          <w:color w:val="262626"/>
          <w:sz w:val="22"/>
        </w:rPr>
        <w:t>Coordinated search and broader channel strategy with website, SEO, operations, and creative priorities to maintain efficient delivery and support profitable growth.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Channel Ownership: </w:t>
      </w:r>
      <w:r>
        <w:rPr>
          <w:rFonts w:ascii="Calibri" w:hAnsi="Calibri"/>
          <w:b w:val="0"/>
          <w:color w:val="262626"/>
          <w:sz w:val="22"/>
        </w:rPr>
        <w:t>Managed Google Ads, Microsoft Ads, Amazon, Meta, Instagram, and TikTok across an approximately $400K monthly advertising budget.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E-Commerce / Marketing | Intercon Inc.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Digital Leadership: </w:t>
      </w:r>
      <w:r>
        <w:rPr>
          <w:rFonts w:ascii="Calibri" w:hAnsi="Calibri"/>
          <w:b w:val="0"/>
          <w:color w:val="262626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Commercial Priorities: </w:t>
      </w:r>
      <w:r>
        <w:rPr>
          <w:rFonts w:ascii="Calibri" w:hAnsi="Calibri"/>
          <w:b w:val="0"/>
          <w:color w:val="262626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Data &amp; Reporting: </w:t>
      </w:r>
      <w:r>
        <w:rPr>
          <w:rFonts w:ascii="Calibri" w:hAnsi="Calibri"/>
          <w:b w:val="0"/>
          <w:color w:val="262626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B2C Expansion: </w:t>
      </w:r>
      <w:r>
        <w:rPr>
          <w:rFonts w:ascii="Calibri" w:hAnsi="Calibri"/>
          <w:b w:val="0"/>
          <w:color w:val="262626"/>
          <w:sz w:val="22"/>
        </w:rPr>
        <w:t>Modernized the company’s digital environment and launched multiple B2C channels while protecting relationships with more than 650 B2B retail partners.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SEM Manager / Project Manager | The Infinite Agency — Dallas, TX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Client Strategy: </w:t>
      </w:r>
      <w:r>
        <w:rPr>
          <w:rFonts w:ascii="Calibri" w:hAnsi="Calibri"/>
          <w:b w:val="0"/>
          <w:color w:val="262626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Research &amp; Testing: </w:t>
      </w:r>
      <w:r>
        <w:rPr>
          <w:rFonts w:ascii="Calibri" w:hAnsi="Calibri"/>
          <w:b w:val="0"/>
          <w:color w:val="262626"/>
          <w:sz w:val="22"/>
        </w:rPr>
        <w:t>Conducted keyword and competitive research, developed targeting and messaging recommendations, and created conversion, attribution, A/B, and multivariate testing frameworks.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Reporting &amp; Repeatable Processes: </w:t>
      </w:r>
      <w:r>
        <w:rPr>
          <w:rFonts w:ascii="Calibri" w:hAnsi="Calibri"/>
          <w:b w:val="0"/>
          <w:color w:val="262626"/>
          <w:sz w:val="22"/>
        </w:rPr>
        <w:t>Built Funnel.io and Looker Studio reporting, created automated monitoring scripts, and developed a repeatable account-management system adopted across the agency.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Agency Account Scale: </w:t>
      </w:r>
      <w:r>
        <w:rPr>
          <w:rFonts w:ascii="Calibri" w:hAnsi="Calibri"/>
          <w:b w:val="0"/>
          <w:color w:val="262626"/>
          <w:sz w:val="22"/>
        </w:rPr>
        <w:t>Managed 75+ Google Ads accounts and more than $276K in monthly spend across search, display, mobile, remarketing, YouTube, lead generation, and multi-channel client programs.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E-Commerce Manager | LifeSpan Fitness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Team Leadership: </w:t>
      </w:r>
      <w:r>
        <w:rPr>
          <w:rFonts w:ascii="Calibri" w:hAnsi="Calibri"/>
          <w:b w:val="0"/>
          <w:color w:val="262626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Executive Planning: </w:t>
      </w:r>
      <w:r>
        <w:rPr>
          <w:rFonts w:ascii="Calibri" w:hAnsi="Calibri"/>
          <w:b w:val="0"/>
          <w:color w:val="262626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Conversion Optimization: </w:t>
      </w:r>
      <w:r>
        <w:rPr>
          <w:rFonts w:ascii="Calibri" w:hAnsi="Calibri"/>
          <w:b w:val="0"/>
          <w:color w:val="262626"/>
          <w:sz w:val="22"/>
        </w:rPr>
        <w:t>Directed keyword strategy, bid experiments, landing-page optimization, ad copy, audience analysis, CRO, attribution, and A/B and multivariate testing.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Campaign Execution: </w:t>
      </w:r>
      <w:r>
        <w:rPr>
          <w:rFonts w:ascii="Calibri" w:hAnsi="Calibri"/>
          <w:b w:val="0"/>
          <w:color w:val="262626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Revenue Impact: </w:t>
      </w:r>
      <w:r>
        <w:rPr>
          <w:rFonts w:ascii="Calibri" w:hAnsi="Calibri"/>
          <w:b w:val="0"/>
          <w:color w:val="262626"/>
          <w:sz w:val="22"/>
        </w:rPr>
        <w:t>Managed 150+ campaigns and approximately $400K in monthly spend, generating more than $9 million in revenue and 35% of company sales.</w:t>
      </w:r>
    </w:p>
    <w:p>
      <w:pPr>
        <w:keepNext/>
        <w:spacing w:line="276" w:lineRule="auto" w:before="3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sz w:val="22"/>
        </w:rPr>
        <w:t>Bachelor of Science, Business Management - Brigham Young University</w:t>
      </w:r>
    </w:p>
    <w:p>
      <w:pPr>
        <w:keepNext w:val="0"/>
        <w:spacing w:line="276" w:lineRule="auto" w:before="0" w:after="0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48" w:right="691" w:bottom="64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</w:pPr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