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Growth-oriented paid-media leader experienced in scaling investment while improving returns. Managed 75+ Google Ads accounts while advising clients on channel allocation, campaign structure, and growth priorities. Partnered with web development and content teams on custom landing pages and Performance Max campaign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Budget Forecasting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A/B &amp; Multivariate Testing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holdouts, geo tests, scale-up/down analysis, and budget reallocation scenarios to forecast outcomes and present credible investment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custom Google Tag Manager measurement/reporting.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keyword creation and permutations for thousands of ad groups using VBA in Excel.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daily financial analysis to identify niches and product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 and competitive research, developed targeting and messaging recommendations, and created conversion, attribution, A/B, and multivariate testing frameworks.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Advised clients directly on business goals and how to allocate marketing funds across website development, SEO, email, paid search, display, mobile, remarketing, YouTube, and social media.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custom scripts for continuous monitoring of client marketing efforts.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keyword strategy, bid experiments, landing-page optimization, ad copy, audience analysis, CRO, attribution, and A/B and multivariate testing.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Implemented human-assisted campaign automation with JavaScript based on promotions and business goals.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the firm's overall marketing plan and new strategies in coordination with firm management.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Routinely conducted cost/benefit evaluations of marketing initiatives.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online marketing efforts using multiple SEO/SEM tools.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Microsoft Ads • Meta Ads • Google Ads Editor • Google Ads API • Google Analytics 4 • Google Tag Manager • Google Search Console • Bing Ads Editor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gecko-job:generic-2</dc:identifier>
</cp:coreProperties>
</file>