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E-commerce growth marketer who combines budget discipline with hands-on work on the shopping experience. Helped modernize a B2B distributor and add B2C e-commerce channels while protecting relationships with 650+ retail partners. Built a headless e-commerce retail website with React and Next.js and connected Shopify directly to manufacturer databases.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marketing volume from approximately $200,000 to $800,000 while improving ROAS from 1.5 to 3.5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Vortex UTV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Google Merchant Center feed and product structured-data layer from a shared offer model to align variant identifiers, pricing, availability, and product information across advertising and storefront outputs.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customer-account workflows for registration, authentication, password recovery, address management, and order-history access through Shopify APIs.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transition work from four to five agencies to in-house management, evaluating agency fees that combined percentages of total sales with retainers, account prioritization, and excessive automation that reduced channel effectiveness. Assessed inefficient legacy rule-based systems built using the Google Ads API and how newer Google machine-learning capabilities had made those systems outdated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an eight-person e-commerce department and led paid search, outreach, lead generation, customer acquisition, website performance, and growth across the United States, Canada, and the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evaluate account performance and make data-driven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electronic, interactive formats using Adobe Acrobat and LiveCycle, increasing the speed and quantity of market-data acquisition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Analytics 4 • Google Tag Manager • Google Search Console • Power BI • Amazon Vendor Central • Funnel.io • Google Ads • Microsoft Ads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gecko-job:scout-2867</dc:identifier>
</cp:coreProperties>
</file>