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directing multichannel campaigns, managing budgets, developing teams, and using audience research and performance analysis to guide investment. Increased monthly marketing volume from approximately $200,000 to $800,000 while improving ROAS from 1.5 to 3.5. Combines paid search and social advertising expertise with content strategy, customer acquisition, agency coordination, and cross-functional execution.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gecko-job:scout-2858</dc:identifier>
</cp:coreProperties>
</file>