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leader with 14+ years of experience driving customer acquisition, multichannel campaigns, and e-commerce growth across agency, B2B, and B2C environments. Combines hands-on campaign execution, audience research, content development, and client collaboration with funnel testing, attribution analysis, and investment recommendations. Increased monthly marketing volume fourfold while improving ROAS from 1.5 to 3.5, launched digital channels while protecting relationships with 650+ retail partners, and built reusable campaign-management systems and reporting across more than 10 marketing channels.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keepLines/>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p>
      <w:pPr>
        <w:pStyle w:val="ListBullet"/>
        <w:keepLines/>
        <w:spacing w:before="0" w:after="20" w:line="276" w:lineRule="auto"/>
        <w:ind w:left="259"/>
        <w:jc w:val="left"/>
      </w:pPr>
      <w:r>
        <w:rPr>
          <w:rFonts w:ascii="EB Garamond" w:hAnsi="EB Garamond"/>
          <w:b w:val="0"/>
          <w:sz w:val="22"/>
        </w:rPr>
        <w:t>Built conversion and attribution models and designed A/B and multivariate tests across multiple levels of the marketing funnel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keepLines/>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Funnel.io • Google Ads • Microsoft Ads • Google Analytics 4 • Google Tag Manager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gecko-job:scout-2929</dc:identifier>
</cp:coreProperties>
</file>