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14+ years of experience across B2B, agency, and in-house environments, combining multichannel acquisition strategy, budget management, and performance analytics. Led customer acquisition across the U.S., Canada, and U.K.; coordinated marketing with sales, product, finance, and operations; and expanded digital channels while protecting 650+ retail partner relationships. Brings hands-on experience in lead generation, funnel testing, revenue forecasting, and reporting to guide marketing investment and improve conversion performance.</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2024–Present</w:t>
            </w:r>
          </w:p>
        </w:tc>
      </w:tr>
    </w:tbl>
    <w:p>
      <w:pPr>
        <w:pStyle w:val="ListBullet"/>
        <w:keepLines/>
        <w:spacing w:before="0" w:after="20" w:line="276" w:lineRule="auto"/>
        <w:ind w:left="259"/>
        <w:jc w:val="left"/>
      </w:pPr>
      <w:r>
        <w:rPr>
          <w:rFonts w:ascii="EB Garamond" w:hAnsi="EB Garamond"/>
          <w:b w:val="0"/>
          <w:sz w:val="22"/>
        </w:rPr>
        <w:t>Developed and customized a headless UTV e-commerce storefront using React, Next.js, TypeScript, and Shopify GraphQL APIs, combining product discovery, customer accounts, cart functionality, and hosted checkout.</w:t>
      </w:r>
    </w:p>
    <w:p>
      <w:pPr>
        <w:pStyle w:val="ListBullet"/>
        <w:keepLines/>
        <w:spacing w:before="0" w:after="20" w:line="276" w:lineRule="auto"/>
        <w:ind w:left="259"/>
        <w:jc w:val="left"/>
      </w:pPr>
      <w:r>
        <w:rPr>
          <w:rFonts w:ascii="EB Garamond" w:hAnsi="EB Garamond"/>
          <w:b w:val="0"/>
          <w:sz w:val="22"/>
        </w:rPr>
        <w:t>Implemented GA4 e-commerce and engagement tracking for product discovery, cart interactions, searches, filters, and contact intent, with documented controls to prevent duplicate checkout and purchase events.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Designed and interpreted funnel testing across reach, comparison, conversion, micro-conversion, purchase, and internal customer lifetime value to identify scalable search and budget opportunities</w:t>
      </w:r>
    </w:p>
    <w:p>
      <w:pPr>
        <w:pStyle w:val="ListBullet"/>
        <w:keepLines/>
        <w:spacing w:before="0" w:after="20" w:line="276" w:lineRule="auto"/>
        <w:ind w:left="259"/>
        <w:jc w:val="left"/>
      </w:pPr>
      <w:r>
        <w:rPr>
          <w:rFonts w:ascii="EB Garamond" w:hAnsi="EB Garamond"/>
          <w:b w:val="0"/>
          <w:sz w:val="22"/>
        </w:rPr>
        <w:t>Created a customized reporting system using Python, Databricks, SQL, blended Excel data, and Funnel.io to automatically collect data weekly from more than 10 marketing channels, improve reporting accuracy, and accelerate decision-making</w:t>
      </w:r>
    </w:p>
    <w:p>
      <w:pPr>
        <w:pStyle w:val="ListBullet"/>
        <w:keepLines/>
        <w:spacing w:before="0" w:after="20" w:line="276" w:lineRule="auto"/>
        <w:ind w:left="259"/>
        <w:jc w:val="left"/>
      </w:pPr>
      <w:r>
        <w:rPr>
          <w:rFonts w:ascii="EB Garamond" w:hAnsi="EB Garamond"/>
          <w:b w:val="0"/>
          <w:sz w:val="22"/>
        </w:rPr>
        <w:t>Following successful optimization work, evaluated management’s question of where and why to invest an additional $10 million. Used regression models based on prior-year and prior-period data to forecast outcomes and support investment recommendations involving holdouts, geographic promotional offers, scale-ups, scale-downs, and budget reallocations across channels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keepLines/>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Lines/>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Lines/>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keepLines/>
        <w:spacing w:before="0" w:after="20" w:line="276" w:lineRule="auto"/>
        <w:ind w:left="259"/>
        <w:jc w:val="left"/>
      </w:pPr>
      <w:r>
        <w:rPr>
          <w:rFonts w:ascii="EB Garamond" w:hAnsi="EB Garamond"/>
          <w:b w:val="0"/>
          <w:sz w:val="22"/>
        </w:rPr>
        <w:t>Consulted directly with clients on business goals, pain points, campaign structure, and budget allocation across website development, SEO, email campaigns, paid search, display, mobile, remarketing, YouTube, and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pStyle w:val="ListBullet"/>
        <w:keepLines/>
        <w:spacing w:before="0" w:after="20" w:line="276" w:lineRule="auto"/>
        <w:ind w:left="259"/>
        <w:jc w:val="left"/>
      </w:pPr>
      <w:r>
        <w:rPr>
          <w:rFonts w:ascii="EB Garamond" w:hAnsi="EB Garamond"/>
          <w:b w:val="0"/>
          <w:sz w:val="22"/>
        </w:rPr>
        <w:t>Developed and managed content strategy covering timing, content type, placement across blogs, mail, email, and the website,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Search Console • Funnel.io • Google Ads • Microsoft Ads • Google Analytics 4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gecko-job:5870464703</dc:identifier>
</cp:coreProperties>
</file>