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Built an in-house PPC structure spanning 32 businesses, including team training, scalable operations, and ERP integration.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keepNext/>
        <w:spacing w:before="0" w:after="20" w:line="276" w:lineRule="auto"/>
        <w:ind w:left="259"/>
        <w:jc w:val="left"/>
      </w:pPr>
      <w:r>
        <w:rPr>
          <w:rFonts w:ascii="EB Garamond" w:hAnsi="EB Garamond"/>
          <w:b w:val="0"/>
          <w:sz w:val="22"/>
        </w:rPr>
        <w:t>Used regression models, holdouts, geo tests, scale-up/down analysis, and budget reallocation scenarios to forecast outcomes and present credible investment recommendations.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Funnel.io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gecko-job:8ed749ff-cf21-47ec-815d-36af19ab389d</dc:identifier>
</cp:coreProperties>
</file>