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marketing and e-commerce leader with experience navigating growth across sales, operations, technology, and retail partnerships. Used market research and business planning to help establish tax and finance departments that contributed more than 25% of firm revenue.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spacing w:before="0" w:after="20" w:line="276" w:lineRule="auto"/>
        <w:ind w:left="259"/>
        <w:jc w:val="left"/>
      </w:pPr>
      <w:r>
        <w:rPr>
          <w:rFonts w:ascii="EB Garamond" w:hAnsi="EB Garamond"/>
          <w:b w:val="0"/>
          <w:sz w:val="22"/>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ChatGPT • Claude • Gemini • Perplexity • Google Analytics 4 • Google Tag Manager • Google Search Console • Google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gecko-job:f9117568-8934-45a1-b220-95e8bfbc1060</dc:identifier>
</cp:coreProperties>
</file>