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Growth marketing leader with 14+ years of experience spanning consumer e-commerce, financial services, and multichannel acquisition. Increased monthly marketing volume fourfold while improving ROAS from 1.5 to 3.5. Combines audience research, messaging, funnel experimentation, and customer lifetime value analysis with quantitative forecasting to guide growth investment. Led cross-functional initiatives, launched B2C channels, and applied AI-assisted development and performance analysis to marketing workflows and customer experiences.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Developed and customized a headless UTV e-commerce storefront using React, Next.js, TypeScript, and Shopify GraphQL APIs, combining product discovery, customer accounts, cart functionality, and hosted checkout.</w:t>
      </w:r>
    </w:p>
    <w:p>
      <w:pPr>
        <w:pStyle w:val="ListBullet"/>
        <w:keepLines/>
        <w:spacing w:before="0" w:after="20" w:line="276" w:lineRule="auto"/>
        <w:ind w:left="259"/>
        <w:jc w:val="left"/>
      </w:pPr>
      <w:r>
        <w:rPr>
          <w:rFonts w:ascii="EB Garamond" w:hAnsi="EB Garamond"/>
          <w:b w:val="0"/>
          <w:sz w:val="22"/>
        </w:rPr>
        <w:t>Implemented GA4 e-commerce and engagement tracking for product discovery, cart interactions, searches, filters, and contact intent, with documented controls to prevent duplicate checkout and purchase events.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Developed e-commerce-specific products with manufacturers and improved supply-chain processes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Funnel.io • Google Ads • Microsoft Ads • Google Analytics 4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gecko-job:5839608597</dc:identifier>
</cp:coreProperties>
</file>