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Scaled monthly marketing volume from approximately $200K to $800K while improving ROAS from 1.5 to 3.5.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gecko-job:1d5e4b81-96ec-4eb8-9f44-7c0402f8aa62</dc:identifier>
</cp:coreProperties>
</file>