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leader with 14+ years of experience spanning B2B, professional services, agency, and e-commerce environments. Combines multichannel campaign execution, audience research, content strategy, and conversion testing with rigorous attribution and revenue analysis. Increased monthly marketing volume fourfold while improving ROAS from 1.5 to 3.5, and managed campaigns generating more than $9 million in revenue. Builds automated reporting and works across leadership, sales, creative, and technical teams to guide campaign improvements and budget decisions.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Google Tag Manager • Google Search Console • Funnel.io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gecko-job:scout-2933</dc:identifier>
</cp:coreProperties>
</file>