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14+ years of experience executing and optimizing multichannel campaigns across agency, B2B, e-commerce, and professional services environments. Combines hands-on paid media, email and web campaign experience with audience research, messaging, project coordination, and performance reporting. Partners with clients, leadership, sales, creative, and technical teams to align execution with business priorities. Built automated reporting across more than 10 marketing channels and increased monthly marketing volume fourfold while improving ROAS from 1.5 to 3.5 through campaign testing and optimization.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Lines/>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Used industry-leading analytical tools to evaluate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Lines/>
        <w:spacing w:before="0" w:after="20" w:line="276" w:lineRule="auto"/>
        <w:ind w:left="259"/>
        <w:jc w:val="left"/>
      </w:pPr>
      <w:r>
        <w:rPr>
          <w:rFonts w:ascii="EB Garamond" w:hAnsi="EB Garamond"/>
          <w:b w:val="0"/>
          <w:sz w:val="22"/>
        </w:rPr>
        <w:t>Managed all paid search campaigns, outreach, lead generation, and customer acquisition for a large E-Commerce company in the United States, Canada, and the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SQL • Google Tag Manager • Google Ads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gecko-job:scout-2928</dc:identifier>
</cp:coreProperties>
</file>