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B2B/B2C marketing leader with experience coordinating sizeable advertising programs and building repeatable operating structures. Helped modernize a B2B distributor and add B2C e-commerce channels while protecting relationships with 650+ retail partners.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holdouts, geo tests, scale-up/down analysis, and budget reallocation scenarios to forecast outcomes and present credible investment recommendations.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gecko-job:6c2a6918-b04c-4407-b87c-46090c114bb0</dc:identifier>
</cp:coreProperties>
</file>