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Client-focused marketing strategist with experience translating business priorities into channel investment and campaign structure. Used market research and business planning to help establish tax and finance departments that contributed more than 25% of firm revenue.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p>
      <w:pPr>
        <w:pStyle w:val="ListBullet"/>
        <w:spacing w:before="0" w:after="20" w:line="276" w:lineRule="auto"/>
        <w:ind w:left="259"/>
        <w:jc w:val="left"/>
      </w:pPr>
      <w:r>
        <w:rPr>
          <w:rFonts w:ascii="EB Garamond" w:hAnsi="EB Garamond"/>
          <w:b w:val="0"/>
          <w:sz w:val="22"/>
        </w:rPr>
        <w:t>Built complex Tableau dashboards for paid search and helped convert existing Power BI reporting to Tableau.</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Studied each client's account using industry leading analytical software to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Google Analytics 4 • Excel • Google Tag Manager • Google Search Console • Google Ads Editor • Google Ads API • Microsoft Ads • Bing Ads Editor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gecko-job:01053f9d-bfc0-4183-8832-74cebef931c5</dc:identifier>
</cp:coreProperties>
</file>