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leader with hands-on Google Ads and Microsoft Ads experience, paid social management, and paid media oversight of up to $30 million monthly. Increased marketing volume fourfold while improving ROAS from 1.5 to 3.5. Combines attribution analysis, landing-page optimization, conversion testing, and budget forecasting with automated reporting and AI-assisted marketing workflows. Brings experience across B2B distribution, financial and professional services, agency account management, and in-house acquisition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Set up and managed more than 75 Google Ads/AdWords accounts with combined monthly spend of more than $476,000, supporting lead generation and multichannel client programs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2004–Present</w:t>
            </w:r>
          </w:p>
        </w:tc>
      </w:tr>
    </w:tbl>
    <w:p>
      <w:pPr>
        <w:pStyle w:val="ListBullet"/>
        <w:keepLines/>
        <w:spacing w:before="0" w:after="20" w:line="276" w:lineRule="auto"/>
        <w:ind w:left="259"/>
        <w:jc w:val="left"/>
      </w:pPr>
      <w:r>
        <w:rPr>
          <w:rFonts w:ascii="EB Garamond" w:hAnsi="EB Garamond"/>
          <w:b w:val="0"/>
          <w:sz w:val="22"/>
        </w:rP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Worked at a wealth management firm with more than 20 attorneys, financial planners, and CPAs, serving high-net-worth clients and owners of medium- to large-sized businesses across the country</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HubSpot • SQL • Google Tag Manager • Google Search Console • Google Ads Editor • Google Ads API • Google Analytics 4 • Bing Ads Editor • Meta Ads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gecko-job:153411</dc:identifier>
</cp:coreProperties>
</file>