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Marketing operations practitioner focused on reliable data, connected systems, and usable reporting. Built automated reporting across 10+ marketing channels using Python, Databricks, SQL, Excel, and Funnel.io. Automated order and shipping updates through GraphQL integrations.</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Marketing Automation</w:t>
            </w:r>
          </w:p>
        </w:tc>
      </w:tr>
      <w:tr>
        <w:tc>
          <w:tcPr>
            <w:tcW w:type="dxa" w:w="5400"/>
          </w:tcPr>
          <w:p>
            <w:pPr>
              <w:pStyle w:val="ListBullet"/>
              <w:spacing w:after="0" w:line="276" w:lineRule="auto"/>
            </w:pPr>
            <w:r/>
            <w:r>
              <w:rPr>
                <w:rFonts w:ascii="EB Garamond" w:hAnsi="EB Garamond"/>
                <w:sz w:val="22"/>
              </w:rPr>
              <w:t>B2B &amp; B2C Marketing</w:t>
            </w:r>
          </w:p>
        </w:tc>
        <w:tc>
          <w:tcPr>
            <w:tcW w:type="dxa" w:w="5400"/>
          </w:tcPr>
          <w:p>
            <w:pPr>
              <w:pStyle w:val="ListBullet"/>
              <w:spacing w:after="0" w:line="276" w:lineRule="auto"/>
            </w:pPr>
            <w:r/>
            <w:r>
              <w:rPr>
                <w:rFonts w:ascii="EB Garamond" w:hAnsi="EB Garamond"/>
                <w:sz w:val="22"/>
              </w:rPr>
              <w:t>Marketing Technology</w:t>
            </w:r>
          </w:p>
        </w:tc>
      </w:tr>
      <w:tr>
        <w:tc>
          <w:tcPr>
            <w:tcW w:type="dxa" w:w="5400"/>
          </w:tcPr>
          <w:p>
            <w:pPr>
              <w:pStyle w:val="ListBullet"/>
              <w:spacing w:after="0" w:line="276" w:lineRule="auto"/>
            </w:pPr>
            <w:r/>
            <w:r>
              <w:rPr>
                <w:rFonts w:ascii="EB Garamond" w:hAnsi="EB Garamond"/>
                <w:sz w:val="22"/>
              </w:rPr>
              <w:t>Attribution Modeling</w:t>
            </w:r>
          </w:p>
        </w:tc>
        <w:tc>
          <w:tcPr>
            <w:tcW w:type="dxa" w:w="5400"/>
          </w:tcPr>
          <w:p>
            <w:pPr>
              <w:pStyle w:val="ListBullet"/>
              <w:spacing w:after="0" w:line="276" w:lineRule="auto"/>
            </w:pPr>
            <w:r/>
            <w:r>
              <w:rPr>
                <w:rFonts w:ascii="EB Garamond" w:hAnsi="EB Garamond"/>
                <w:sz w:val="22"/>
              </w:rPr>
              <w:t>Campaign Optimization</w:t>
            </w:r>
          </w:p>
        </w:tc>
      </w:tr>
      <w:tr>
        <w:tc>
          <w:tcPr>
            <w:tcW w:type="dxa" w:w="5400"/>
          </w:tcPr>
          <w:p>
            <w:pPr>
              <w:pStyle w:val="ListBullet"/>
              <w:spacing w:after="0" w:line="276" w:lineRule="auto"/>
            </w:pPr>
            <w:r/>
            <w:r>
              <w:rPr>
                <w:rFonts w:ascii="EB Garamond" w:hAnsi="EB Garamond"/>
                <w:sz w:val="22"/>
              </w:rPr>
              <w:t>Cross-Functional Leadership</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Conversion Rate Optimization</w:t>
            </w:r>
          </w:p>
        </w:tc>
      </w:tr>
      <w:tr>
        <w:tc>
          <w:tcPr>
            <w:tcW w:type="dxa" w:w="5400"/>
          </w:tcPr>
          <w:p>
            <w:pPr>
              <w:pStyle w:val="ListBullet"/>
              <w:spacing w:after="0" w:line="276" w:lineRule="auto"/>
            </w:pPr>
            <w:r/>
            <w:r>
              <w:rPr>
                <w:rFonts w:ascii="EB Garamond" w:hAnsi="EB Garamond"/>
                <w:sz w:val="22"/>
              </w:rPr>
              <w:t>Budget Forecasting</w:t>
            </w:r>
          </w:p>
        </w:tc>
        <w:tc>
          <w:tcPr>
            <w:tcW w:type="dxa" w:w="5400"/>
          </w:tcPr>
          <w:p>
            <w:pPr>
              <w:pStyle w:val="ListBullet"/>
              <w:spacing w:after="0" w:line="276" w:lineRule="auto"/>
            </w:pPr>
            <w:r/>
            <w:r>
              <w:rPr>
                <w:rFonts w:ascii="EB Garamond" w:hAnsi="EB Garamond"/>
                <w:sz w:val="22"/>
              </w:rPr>
              <w:t>Lead Generation</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Increased monthly marketing volume from approximately $200,000 to $800,000 while improving ROAS from 1.5 to 3.5.</w:t>
      </w:r>
    </w:p>
    <w:p>
      <w:pPr>
        <w:pStyle w:val="ListBullet"/>
        <w:spacing w:before="0" w:after="20" w:line="276" w:lineRule="auto"/>
        <w:ind w:left="259"/>
        <w:jc w:val="left"/>
      </w:pPr>
      <w:r>
        <w:rPr>
          <w:rFonts w:ascii="EB Garamond" w:hAnsi="EB Garamond"/>
          <w:b w:val="0"/>
          <w:sz w:val="22"/>
        </w:rPr>
        <w:t>Managed Google Ads, Microsoft Ads, Amazon, Meta, Instagram, and TikTok across an approximately $400K monthly advertising budget.</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keepNext/>
        <w:spacing w:before="0" w:after="20" w:line="276" w:lineRule="auto"/>
        <w:ind w:left="259"/>
        <w:jc w:val="left"/>
      </w:pPr>
      <w:r>
        <w:rPr>
          <w:rFonts w:ascii="EB Garamond" w:hAnsi="EB Garamond"/>
          <w:b w:val="0"/>
          <w:sz w:val="22"/>
        </w:rPr>
        <w:t>Analyzed max CPC versus smart bidding, brand and non-brand target CPA, Performance Max and Shopping mix, audience performance, data-driven attribution, and incremental CPA.</w:t>
      </w:r>
    </w:p>
    <w:p>
      <w:pPr>
        <w:pStyle w:val="ListBullet"/>
        <w:spacing w:before="0" w:after="20" w:line="276" w:lineRule="auto"/>
        <w:ind w:left="259"/>
        <w:jc w:val="left"/>
      </w:pPr>
      <w:r>
        <w:rPr>
          <w:rFonts w:ascii="EB Garamond" w:hAnsi="EB Garamond"/>
          <w:b w:val="0"/>
          <w:sz w:val="22"/>
        </w:rPr>
        <w:t>Helped facilitate the transition of four to five agency relationships in-house, evaluating agency cost structures, prioritization, automation approaches, and the impact of newer Google machine-learning capabilities on legacy rule-based systems.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p>
      <w:pPr>
        <w:pStyle w:val="ListBullet"/>
        <w:spacing w:before="0" w:after="20" w:line="276" w:lineRule="auto"/>
        <w:ind w:left="259"/>
        <w:jc w:val="left"/>
      </w:pPr>
      <w:r>
        <w:rPr>
          <w:rFonts w:ascii="EB Garamond" w:hAnsi="EB Garamond"/>
          <w:b w:val="0"/>
          <w:sz w:val="22"/>
        </w:rPr>
        <w:t>Configured GA4 and Google Tag Manager measurement and built Looker Studio KPI dashboards for campaign pacing, website performance, inventory planning, and leadership decisions.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Converted and interpreted JSON results to data-mine SERP</w:t>
      </w:r>
    </w:p>
    <w:p>
      <w:pPr>
        <w:pStyle w:val="ListBullet"/>
        <w:spacing w:before="0" w:after="20" w:line="276" w:lineRule="auto"/>
        <w:ind w:left="259"/>
        <w:jc w:val="left"/>
      </w:pPr>
      <w:r>
        <w:rPr>
          <w:rFonts w:ascii="EB Garamond" w:hAnsi="EB Garamond"/>
          <w:b w:val="0"/>
          <w:sz w:val="22"/>
        </w:rPr>
        <w:t>12 accounts, 32 campaigns, 110k Ad Groups, 1.6 million keywords, with a $3.6 million/month spend in one brand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p>
      <w:pPr>
        <w:pStyle w:val="ListBulle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Built Funnel.io reporting pipelines and presented consolidated performance data in Google Data/Looker Studio.</w:t>
      </w:r>
    </w:p>
    <w:p>
      <w:pPr>
        <w:pStyle w:val="ListBullet"/>
        <w:spacing w:before="0" w:after="20" w:line="276" w:lineRule="auto"/>
        <w:ind w:left="259"/>
        <w:jc w:val="left"/>
      </w:pPr>
      <w:r>
        <w:rPr>
          <w:rFonts w:ascii="EB Garamond" w:hAnsi="EB Garamond"/>
          <w:b w:val="0"/>
          <w:sz w:val="22"/>
        </w:rPr>
        <w:t>Built conversion and attribution models and designed A/B and multivariate tests across multiple levels of the marketing funnel.</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Created business goals, annual projections, and KPIs with senior management and reported data from Magento, Google Analytics, ACCTivate, QuickBooks, and advertising platforms.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Converted all paper forms into an electronic, interactive format using Acrobat and LiveCycle. This increased all market data and increased the speed of data acquisition</w:t>
      </w:r>
    </w:p>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Tableau • HubSpot • Salesforce • SQL • Google Analytics 4 • Looker Studio • Amazon Vendor Central • Funnel.io</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gecko-job:0e175af6-e53a-4e48-91ba-db3aaef8dac7</dc:identifier>
</cp:coreProperties>
</file>