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leader with 14+ years of experience spanning content strategy, audience research, acquisition, and marketing analytics across B2B, professional services, and e-commerce. Developed coordinated content strategies across blogs, email, mail, and websites; translated market research into revenue-generating services; and partnered with executives, creative teams, and web developers to align marketing with business priorities. Combines hands-on SEO, copywriting, and campaign measurement with AI-assisted content production and workflow automation.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keepLines/>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Developed affiliate-program strategy and created search/display ad copy using Adobe design software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Designed and introduced new marketing concepts using graphic design and animation software</w:t>
      </w:r>
    </w:p>
    <w:p>
      <w:pPr>
        <w:pStyle w:val="ListBullet"/>
        <w:keepLines/>
        <w:spacing w:before="0" w:after="20" w:line="276" w:lineRule="auto"/>
        <w:ind w:left="259"/>
        <w:jc w:val="left"/>
      </w:pPr>
      <w:r>
        <w:rPr>
          <w:rFonts w:ascii="EB Garamond" w:hAnsi="EB Garamond"/>
          <w:b w:val="0"/>
          <w:sz w:val="22"/>
        </w:rPr>
        <w:t>Managed all online marketing efforts using multiple SEO/SEM tools</w:t>
      </w:r>
    </w:p>
    <w:p>
      <w:pPr>
        <w:pStyle w:val="ListBullet"/>
        <w:keepLines/>
        <w:spacing w:before="0" w:after="20" w:line="276" w:lineRule="auto"/>
        <w:ind w:left="259"/>
        <w:jc w:val="left"/>
      </w:pPr>
      <w:r>
        <w:rPr>
          <w:rFonts w:ascii="EB Garamond" w:hAnsi="EB Garamond"/>
          <w:b w:val="0"/>
          <w:sz w:val="22"/>
        </w:rPr>
        <w:t>Led weekly marketing meetings and participated in weekly firm management meetings</w:t>
      </w:r>
    </w:p>
    <w:p>
      <w:pPr>
        <w:pStyle w:val="ListBullet"/>
        <w:keepLines/>
        <w:spacing w:before="0" w:after="20" w:line="276" w:lineRule="auto"/>
        <w:ind w:left="259"/>
        <w:jc w:val="left"/>
      </w:pPr>
      <w:r>
        <w:rPr>
          <w:rFonts w:ascii="EB Garamond" w:hAnsi="EB Garamond"/>
          <w:b w:val="0"/>
          <w:sz w:val="22"/>
        </w:rPr>
        <w:t>Generated and tracked prospective clients and business associates using a marketing-oriented database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Search Console • Google Ads • Microsoft Ads • Google Analytics 4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gecko-job:scout-2892</dc:identifier>
</cp:coreProperties>
</file>