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Scaled monthly marketing volume from approximately $200K to $800K while improving ROAS from 1.5 to 3.5.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Search Console • Google Ads Editor • Bing Ads Editor • Meta Ads • Google Ads API • Microsoft Ads • Google Tag Manager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gecko-job:e4bca10f-655a-46fd-9685-1d47c4f415ca</dc:identifier>
</cp:coreProperties>
</file>