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building multichannel acquisition programs, expanding B2B and B2C businesses, and using attribution, funnel testing, and financial analysis to guide growth. Increased monthly marketing volume fourfold while improving ROAS from 1.5 to 3.5, led an eight-person team, and partnered across sales, creative, technology, and operations. Builds scalable marketing processes and automated reporting, combining audience research, campaign experimentation, and investment forecasting to improve acquisition efficiency and support decisions about new markets.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Funnel.io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gecko-job:scout-2930</dc:identifier>
</cp:coreProperties>
</file>