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Paid search leader combining client strategy, hands-on campaign management, and analytical budget planning. Managed high-volume advertising programs and advised clients across more than 75 Google Ads accounts. Uses forecasting, audience and keyword analysis, bid experiments, attribution, and cross-channel reporting to connect investment decisions with business outcomes, supported by experience leading teams and building repeatable campaign operations.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Google Ads, Microsoft Ads, Amazon, Meta, Instagram, and TikTok across an approximately $400K monthly advertising budget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maximum CPC versus smart bidding, brand CPC optimization, brand and non-brand target CPA, incremental CPA during scale-ups and scale-downs, omnichannel brand holdouts, data-driven attribution (DDA), and the Performance Max/Google Shopping mix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transition work from four to five agencies to in-house management, evaluating agency fees that combined percentages of total sales with retainers, account prioritization, and excessive automation that reduced channel effectiveness. Assessed inefficient legacy rule-based systems built using the Google Ads API and how newer Google machine-learning capabilities had made those systems outdated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Technology, marketing, cultural change, team, and thought leader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Innovated and implemented new systems to increase productivity and efficiency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daily financial analysis to identify niches and product opportunities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custom scripts for continuous, automated monitoring of client marketing efforts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electronic, interactive formats using Adobe Acrobat and LiveCycle, increasing the speed and quantity of market-data acquisition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Microsoft Ads • Google Analytics 4 • Shopify • Excel • Google Tag Manager • Google Search Console • Google Ads Editor • Google Ads API • Bing Ads Editor • Meta Ads • Funnel.io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gecko-job:2622750f7424466c</dc:identifier>
</cp:coreProperties>
</file>