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leader with 14+ years of experience across agency and in-house environments, combining hands-on paid search and paid social management with budget strategy, experimentation, and marketing analytics. Scaled monthly marketing volume fourfold while improving ROAS from 1.5 to 3.5. Used attribution analysis, incremental CPA, holdouts, and regression modeling to inform channel investment recommendations, and built automated reporting across 10+ channels using Python, SQL, Excel, Databricks, and Funnel.io. Experienced in evaluating agency performance and translating complex data into clear recommendations for leadership.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maximum CPC versus smart bidding, brand CPC optimization, brand and non-brand target CPA, incremental CPA during scale-ups and scale-downs, omnichannel brand holdouts, data-driven attribution (DDA), and the Performance Max/Google Shopping mix</w:t>
      </w:r>
    </w:p>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p>
      <w:pPr>
        <w:pStyle w:val="ListBullet"/>
        <w:keepLines/>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Routinely conducted cost/benefit evaluations of marketing initiatives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SQL • Excel • Google Tag Manager • Google Search Console • Funnel.io • Google Ads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gecko-job:d795965b7595d0d9</dc:identifier>
</cp:coreProperties>
</file>