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professional with a background in market research, business planning, and cross-functional digital delivery. Helped modernize a B2B distributor and add B2C e-commerce channels while protecting relationships with 650+ retail partners. Built an in-house PPC structure spanning 32 businesses, including team training, scalable operations, and ERP integration.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reach, comparison, conversion, micro-conversion, and internal lifetime-value funnel testing, including click-to-call systems assessment and iSpot analysis for TV/OTT reach campaigns.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12 accounts, 32 campaigns, approximately 110,000 ad groups, 1.6 million keywords, and approximately $3.6 million in monthly spend for one brand.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competitive, targeting, and messaging research to support campaign and growth recommendations.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advanced keyword research, channel analysis, trend monitoring, acquisition analysis, conversion-path and funnel analysis, landing-page optimization, and conversion-rate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paper forms into electronic, interactive formats using Adobe Acrobat and LiveCycle, increasing the speed and quantity of market-data acquisition.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Google Ads • Microsoft Ads • Google Analytics 4 • Google Search Console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gecko-job:310c2208-bcd1-4d46-bfbc-8df8201b3a3b</dc:identifier>
</cp:coreProperties>
</file>