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Helped modernize a B2B distributor and add B2C e-commerce channels while protecting relationships with 650+ retail partners.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Meta Ads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gecko-job:82e17f6f-a13c-41c4-89ce-73b802908f0f</dc:identifier>
</cp:coreProperties>
</file>