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14+ years of experience developing multichannel strategies, managing budgets, and coordinating execution across sales, creative, operations, and executive teams. Scaled marketing volume fourfold while improving ROAS from 1.5 to 3.5, supported investment recommendations for an additional $10 million in media, and expanded digital channels while protecting relationships with 650+ B2B retail partners. Combines customer acquisition expertise with rigorous ROI analysis, agency coordination, and repeatable operating systems that improve marketing execution and investment decisions.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Operational Efficiency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Budget Forecasting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Helped transition work from four to five agencies to in-house management, evaluating agency fees that combined percentages of total sales with retainers, account prioritization, and excessive automation that reduced channel effectiveness. Assessed inefficient legacy rule-based systems built using the Google Ads API and how newer Google machine-learning capabilities had made those systems outdated</w:t>
      </w:r>
    </w:p>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keepLines/>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Power BI • Google Ads API • VS Code • Google Ads • Microsoft Ads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gecko-job:scout-2886</dc:identifier>
</cp:coreProperties>
</file>