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Used market research and business planning to help establish tax and finance departments that contributed more than 25% of firm revenue.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gecko-job:6093563c-0c23-4a81-aa6a-b052b734099f</dc:identifier>
</cp:coreProperties>
</file>