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and analytics leader with 14+ years of experience connecting website optimization, SEO, email, audience insights, and performance measurement to business decisions. Built automated reporting across more than 10 marketing channels, developed attribution models and funnel tests, and configured GA4 and Google Tag Manager measurement. Combines hands-on website development and content strategy with cross-functional collaboration, agency coordination, and clear KPI reporting to improve customer experiences and marketing effectiveness.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Designed and built the firm’s website using HTML5, CSS3, and JavaScript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Ads • Microsoft Ads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gecko-job:scout-2934</dc:identifier>
</cp:coreProperties>
</file>