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across B2B, e-commerce, and agency environments, coordinating execution with sales, creative, operations, finance, and executive teams. Brings hands-on budget oversight, project management, partner collaboration, and performance reporting, including modernizing a B2B distributor while protecting relationships with more than 650 retail partners. Builds reporting systems and shared KPIs that improve stakeholder visibility and guide marketing investment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Excel • Google Tag Manager • Google Ads • Google Analytics 4 • Google Search Console • Google Ads Editor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gecko-job:scout-2887</dc:identifier>
</cp:coreProperties>
</file>