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market research and business planning to help establish tax and finance departments that contributed more than 25% of firm revenue.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gecko-job:a512e45b3d6e933445be3190</dc:identifier>
</cp:coreProperties>
</file>