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and conversion optimization professional with hands-on experience in landing-page optimization, A/B and multivariate testing, funnel analysis, and affiliate-program strategy. Combines Google Analytics, Google Tag Manager, and performance reporting expertise with web development and cross-functional execution. Increased monthly marketing volume fourfold while improving ROAS from 1.5 to 3.5, and built automated reporting across more than 10 marketing channels to improve accuracy and decision speed.</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Conducted customer lifetime value (LTV) analysis, affiliate commission analysis and discount negotiation, and AI-assisted promotion performance analysis using Namogoo</w:t>
      </w:r>
    </w:p>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p>
      <w:pPr>
        <w:pStyle w:val="ListBullet"/>
        <w:keepLines/>
        <w:spacing w:before="0" w:after="20" w:line="276" w:lineRule="auto"/>
        <w:ind w:left="259"/>
        <w:jc w:val="left"/>
      </w:pPr>
      <w:r>
        <w:rPr>
          <w:rFonts w:ascii="EB Garamond" w:hAnsi="EB Garamond"/>
          <w:b w:val="0"/>
          <w:sz w:val="22"/>
        </w:rPr>
        <w:t>Created custom attribution models, advanced bid strategies, bid tests/experiments, A/B tests, and multivariate testing frameworks</w:t>
      </w:r>
    </w:p>
    <w:p>
      <w:pPr>
        <w:pStyle w:val="ListBullet"/>
        <w:keepLines/>
        <w:spacing w:before="0" w:after="20" w:line="276" w:lineRule="auto"/>
        <w:ind w:left="259"/>
        <w:jc w:val="left"/>
      </w:pPr>
      <w:r>
        <w:rPr>
          <w:rFonts w:ascii="EB Garamond" w:hAnsi="EB Garamond"/>
          <w:b w:val="0"/>
          <w:sz w:val="22"/>
        </w:rPr>
        <w:t>Developed affiliate-program strategy and created search/display ad copy using Adobe design software</w:t>
      </w:r>
    </w:p>
    <w:p>
      <w:pPr>
        <w:pStyle w:val="ListBullet"/>
        <w:keepLines/>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Designed and built the firm’s website using HTML5, CSS3, and JavaScript</w:t>
      </w:r>
    </w:p>
    <w:p>
      <w:pPr>
        <w:pStyle w:val="ListBullet"/>
        <w:keepLines/>
        <w:spacing w:before="0" w:after="20" w:line="276" w:lineRule="auto"/>
        <w:ind w:left="259"/>
        <w:jc w:val="left"/>
      </w:pPr>
      <w:r>
        <w:rPr>
          <w:rFonts w:ascii="EB Garamond" w:hAnsi="EB Garamond"/>
          <w:b w:val="0"/>
          <w:sz w:val="22"/>
        </w:rPr>
        <w:t>Converted all paper forms into electronic, interactive formats using Adobe Acrobat and LiveCycle, increasing the speed and quantity of market-data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Ads • Google Tag Manager • Google Search Console • Looker Studio • Google Ads Editor • Funnel.io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gecko-job:scout-2898</dc:identifier>
</cp:coreProperties>
</file>