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and conversion optimization professional with 14+ years of experience spanning e-commerce, agency, and financial services environments. Hands-on background in landing-page optimization, A/B and multivariate testing, funnel analysis, affiliate-program strategy, and affiliate commission analysis. Improved ROAS from 1.5 to 3.5 while increasing monthly marketing volume fourfold. Combines GA4 and Google Tag Manager measurement with automated reporting and cross-functional execution to turn customer behavior and test findings into practical marketing improvements.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keepLines/>
        <w:spacing w:before="0" w:after="20" w:line="276" w:lineRule="auto"/>
        <w:ind w:left="259"/>
        <w:jc w:val="left"/>
      </w:pPr>
      <w:r>
        <w:rPr>
          <w:rFonts w:ascii="EB Garamond" w:hAnsi="EB Garamond"/>
          <w:b w:val="0"/>
          <w:sz w:val="22"/>
        </w:rPr>
        <w:t>Created custom attribution models, advanced bid strategies, bid tests/experiments, A/B tests, and multivariate testing frameworks</w:t>
      </w:r>
    </w:p>
    <w:p>
      <w:pPr>
        <w:pStyle w:val="ListBullet"/>
        <w:keepLines/>
        <w:spacing w:before="0" w:after="20" w:line="276" w:lineRule="auto"/>
        <w:ind w:left="259"/>
        <w:jc w:val="left"/>
      </w:pPr>
      <w:r>
        <w:rPr>
          <w:rFonts w:ascii="EB Garamond" w:hAnsi="EB Garamond"/>
          <w:b w:val="0"/>
          <w:sz w:val="22"/>
        </w:rPr>
        <w:t>Developed affiliate-program strategy and created search/display ad copy using Adobe design software</w:t>
      </w:r>
    </w:p>
    <w:p>
      <w:pPr>
        <w:pStyle w:val="ListBullet"/>
        <w:keepLines/>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Worked at a wealth management firm with more than 20 attorneys, financial planners, and CPAs, serving high-net-worth clients and owners of medium- to large-sized businesses across the country</w:t>
      </w:r>
    </w:p>
    <w:p>
      <w:pPr>
        <w:pStyle w:val="ListBullet"/>
        <w:keepLines/>
        <w:spacing w:before="0" w:after="20" w:line="276" w:lineRule="auto"/>
        <w:ind w:left="259"/>
        <w:jc w:val="left"/>
      </w:pPr>
      <w:r>
        <w:rPr>
          <w:rFonts w:ascii="EB Garamond" w:hAnsi="EB Garamond"/>
          <w:b w:val="0"/>
          <w:sz w:val="22"/>
        </w:rPr>
        <w:t>Designed and built the firm’s website using HTML5, CSS3, and JavaScript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Ads • Google Tag Manager • Google Search Console • Looker Studio • Google Ads Editor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gecko-job:scout-2899</dc:identifier>
</cp:coreProperties>
</file>