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leader with hands-on paid acquisition experience across Google Ads, Meta, and multichannel consumer campaigns, complemented by B2B marketing and lead generation. Increased monthly marketing volume fourfold while improving ROAS from 1.5 to 3.5 through bidding, audience analysis, testing, and budget allocation. Combines attribution and incremental CPA analysis with automated reporting using Python, SQL, and Databricks. Uses Claude and other AI development tools to build practical applications and workflows, with experience connecting GA4 measurement, e-commerce systems, and marketing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I created this website two years ago. built it on a headless system using REACT and Next.js. The site is a 3rd party retailer. I found a great manufacturer. The magic behind this is that I connected the backend of the Shopify Store directly to their databases. It updated orders and shipping all through GraphQL. Out of the 50 major companies, I haven’t seen anyone do it. They hire out a handful of people and all they do is submit orders. So now everything is automated. I don’t spend more than 10 minutes a week just to make sure it’s running</w:t>
      </w:r>
    </w:p>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Claude • Google Tag Manager • Google Search Console • Google Ads • Google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gecko-job:730a8d8020617191</dc:identifier>
</cp:coreProperties>
</file>