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Scaled monthly marketing volume from approximately $200K to $800K while improving ROAS from 1.5 to 3.5.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Excel • Google Analytics 4 • Google Search Console • Google Ads Editor • Bing Ads Editor • Google Ads API • Google Tag Manager • Power BI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gecko-job:d9b6e968e277b2aa</dc:identifier>
</cp:coreProperties>
</file>