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and e-commerce leader experienced in balancing direct consumer growth with established retail relationships. Scaled monthly marketing volume from approximately $200K to $800K while improving ROAS from 1.5 to 3.5.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API • Google Ads • Microsoft Ads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gecko-job:5916567934</dc:identifier>
</cp:coreProperties>
</file>